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8" w:rsidRDefault="00BD5FD8" w:rsidP="00BD5FD8">
      <w:pPr>
        <w:pStyle w:val="a7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D5FD8" w:rsidRDefault="00BD5FD8" w:rsidP="00BD5FD8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Орловская область</w:t>
      </w:r>
    </w:p>
    <w:p w:rsidR="00BD5FD8" w:rsidRDefault="00BD5FD8" w:rsidP="00BD5FD8">
      <w:pPr>
        <w:spacing w:line="360" w:lineRule="auto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  <w:r>
        <w:rPr>
          <w:rFonts w:ascii="Times New Roman" w:hAnsi="Times New Roman" w:cs="Times New Roman"/>
          <w:b/>
          <w:caps/>
          <w:sz w:val="26"/>
          <w:szCs w:val="24"/>
        </w:rPr>
        <w:t>МАЛОАРХАНГЕЛЬСКИЙ район</w:t>
      </w:r>
    </w:p>
    <w:p w:rsidR="00BD5FD8" w:rsidRDefault="00BD5FD8" w:rsidP="00BD5FD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6"/>
          <w:szCs w:val="24"/>
        </w:rPr>
        <w:t>Дубовицкий сельский Совет народных депутатов</w:t>
      </w:r>
    </w:p>
    <w:p w:rsidR="00BD5FD8" w:rsidRDefault="00BD5FD8" w:rsidP="00BD5FD8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BD5FD8" w:rsidRDefault="00BD5FD8" w:rsidP="00BD5FD8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aps/>
          <w:sz w:val="32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D5FD8" w:rsidRDefault="00BD5FD8" w:rsidP="00BD5FD8">
      <w:pPr>
        <w:jc w:val="right"/>
        <w:rPr>
          <w:rFonts w:ascii="Times New Roman" w:hAnsi="Times New Roman" w:cs="Times New Roman"/>
          <w:b/>
          <w:caps/>
          <w:sz w:val="32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BD5FD8" w:rsidTr="00BD5FD8">
        <w:tc>
          <w:tcPr>
            <w:tcW w:w="5353" w:type="dxa"/>
            <w:hideMark/>
          </w:tcPr>
          <w:p w:rsidR="00BD5FD8" w:rsidRDefault="00BD5F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28 ноября   2019 г. </w:t>
            </w:r>
          </w:p>
          <w:p w:rsidR="00BD5FD8" w:rsidRDefault="00BD5FD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Дубовик</w:t>
            </w:r>
          </w:p>
        </w:tc>
        <w:tc>
          <w:tcPr>
            <w:tcW w:w="4253" w:type="dxa"/>
            <w:hideMark/>
          </w:tcPr>
          <w:p w:rsidR="00BD5FD8" w:rsidRDefault="00BD5FD8">
            <w:pPr>
              <w:snapToGrid w:val="0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 29/133-СС</w:t>
            </w:r>
          </w:p>
        </w:tc>
      </w:tr>
      <w:tr w:rsidR="00BD5FD8" w:rsidTr="00BD5FD8">
        <w:tc>
          <w:tcPr>
            <w:tcW w:w="5353" w:type="dxa"/>
          </w:tcPr>
          <w:p w:rsidR="00BD5FD8" w:rsidRDefault="00BD5FD8">
            <w:p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D5FD8" w:rsidRDefault="00BD5FD8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D5FD8" w:rsidRDefault="00BD5FD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29 заседании сельского Совета народных депутатов</w:t>
            </w:r>
          </w:p>
        </w:tc>
      </w:tr>
    </w:tbl>
    <w:p w:rsidR="00BD5FD8" w:rsidRDefault="00BD5FD8" w:rsidP="00BD5FD8">
      <w:pPr>
        <w:pStyle w:val="31"/>
        <w:spacing w:line="100" w:lineRule="atLeast"/>
        <w:ind w:firstLine="0"/>
        <w:rPr>
          <w:bCs/>
          <w:color w:val="auto"/>
          <w:szCs w:val="24"/>
        </w:rPr>
      </w:pP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Об установлении земельного налога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на территории </w:t>
      </w:r>
      <w:proofErr w:type="spellStart"/>
      <w:r>
        <w:rPr>
          <w:bCs/>
          <w:color w:val="auto"/>
          <w:szCs w:val="24"/>
        </w:rPr>
        <w:t>Дубовицкого</w:t>
      </w:r>
      <w:proofErr w:type="spellEnd"/>
      <w:r>
        <w:rPr>
          <w:bCs/>
          <w:color w:val="auto"/>
          <w:szCs w:val="24"/>
        </w:rPr>
        <w:t xml:space="preserve"> сельского поселения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В соответствии с Налоговым кодексом Российской Федерации  </w:t>
      </w:r>
      <w:proofErr w:type="spellStart"/>
      <w:r>
        <w:rPr>
          <w:bCs/>
          <w:color w:val="auto"/>
          <w:szCs w:val="24"/>
        </w:rPr>
        <w:t>Дубовицкий</w:t>
      </w:r>
      <w:proofErr w:type="spellEnd"/>
      <w:r>
        <w:rPr>
          <w:bCs/>
          <w:color w:val="auto"/>
          <w:szCs w:val="24"/>
        </w:rPr>
        <w:t xml:space="preserve"> сельский Совет народных депутатов РЕШИЛ: 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1. </w:t>
      </w:r>
      <w:r>
        <w:rPr>
          <w:bCs/>
          <w:color w:val="auto"/>
        </w:rPr>
        <w:t>Установить и в</w:t>
      </w:r>
      <w:r>
        <w:rPr>
          <w:bCs/>
          <w:color w:val="auto"/>
          <w:szCs w:val="24"/>
        </w:rPr>
        <w:t xml:space="preserve">вести </w:t>
      </w:r>
      <w:r>
        <w:rPr>
          <w:bCs/>
          <w:color w:val="auto"/>
        </w:rPr>
        <w:t xml:space="preserve">в действие </w:t>
      </w:r>
      <w:r>
        <w:rPr>
          <w:bCs/>
          <w:color w:val="auto"/>
          <w:szCs w:val="24"/>
        </w:rPr>
        <w:t xml:space="preserve">на территории </w:t>
      </w:r>
      <w:proofErr w:type="spellStart"/>
      <w:r>
        <w:rPr>
          <w:bCs/>
          <w:color w:val="auto"/>
          <w:szCs w:val="24"/>
        </w:rPr>
        <w:t>Дубовицкого</w:t>
      </w:r>
      <w:proofErr w:type="spellEnd"/>
      <w:r>
        <w:rPr>
          <w:bCs/>
          <w:color w:val="auto"/>
          <w:szCs w:val="24"/>
        </w:rPr>
        <w:t xml:space="preserve"> сельского поселения земельный налог</w:t>
      </w:r>
      <w:r>
        <w:rPr>
          <w:bCs/>
          <w:color w:val="auto"/>
        </w:rPr>
        <w:t>.</w:t>
      </w:r>
    </w:p>
    <w:p w:rsidR="00BD5FD8" w:rsidRDefault="00BD5FD8" w:rsidP="00BD5FD8">
      <w:pPr>
        <w:pStyle w:val="31"/>
        <w:spacing w:line="100" w:lineRule="atLeast"/>
        <w:ind w:firstLine="851"/>
        <w:rPr>
          <w:rFonts w:eastAsia="Lucida Sans Unicode" w:cs="Tahoma"/>
          <w:szCs w:val="24"/>
          <w:lang w:eastAsia="ru-RU" w:bidi="ru-RU"/>
        </w:rPr>
      </w:pPr>
      <w:r>
        <w:rPr>
          <w:bCs/>
          <w:color w:val="auto"/>
          <w:szCs w:val="24"/>
        </w:rPr>
        <w:t>2. Установить налоговые ставки в следующих размерах:</w:t>
      </w:r>
    </w:p>
    <w:p w:rsidR="00BD5FD8" w:rsidRDefault="00BD5FD8" w:rsidP="00BD5FD8">
      <w:pPr>
        <w:spacing w:line="100" w:lineRule="atLeast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 1) 0,3 процента в отношении земельных участков:</w:t>
      </w:r>
    </w:p>
    <w:p w:rsidR="00BD5FD8" w:rsidRDefault="00BD5FD8" w:rsidP="00BD5FD8">
      <w:pPr>
        <w:spacing w:line="100" w:lineRule="atLeast"/>
        <w:ind w:firstLine="851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BD5FD8" w:rsidRDefault="00BD5FD8" w:rsidP="00BD5FD8">
      <w:pPr>
        <w:widowControl/>
        <w:suppressAutoHyphens w:val="0"/>
        <w:autoSpaceDE/>
        <w:autoSpaceDN w:val="0"/>
        <w:ind w:firstLine="851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занятых </w:t>
      </w:r>
      <w:hyperlink r:id="rId5" w:history="1">
        <w:r>
          <w:rPr>
            <w:rStyle w:val="a3"/>
            <w:rFonts w:ascii="Times New Roman" w:eastAsia="Lucida Sans Unicode" w:hAnsi="Times New Roman" w:cs="Tahoma"/>
            <w:sz w:val="24"/>
            <w:szCs w:val="24"/>
            <w:lang w:eastAsia="ru-RU" w:bidi="ru-RU"/>
          </w:rPr>
          <w:t>жилищным фондом</w:t>
        </w:r>
      </w:hyperlink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и </w:t>
      </w:r>
      <w:hyperlink r:id="rId6" w:history="1">
        <w:r>
          <w:rPr>
            <w:rStyle w:val="a3"/>
            <w:rFonts w:ascii="Times New Roman" w:eastAsia="Lucida Sans Unicode" w:hAnsi="Times New Roman" w:cs="Tahoma"/>
            <w:sz w:val="24"/>
            <w:szCs w:val="24"/>
            <w:lang w:eastAsia="ru-RU" w:bidi="ru-RU"/>
          </w:rPr>
          <w:t>объектами инженерной инфраструктуры</w:t>
        </w:r>
      </w:hyperlink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D5FD8" w:rsidRDefault="00BD5FD8" w:rsidP="00BD5FD8">
      <w:pPr>
        <w:spacing w:line="100" w:lineRule="atLeast"/>
        <w:ind w:firstLine="851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D5FD8" w:rsidRDefault="00BD5FD8" w:rsidP="00BD5FD8">
      <w:pPr>
        <w:spacing w:line="100" w:lineRule="atLeast"/>
        <w:ind w:firstLine="851"/>
        <w:rPr>
          <w:rFonts w:eastAsia="Lucida Sans Unicode" w:cs="Tahoma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ограниченных в  обороте в соответствии  с законодательством  Российской Федерации, предоставленных  для обеспечения обороны, безопасности и таможенных  нужд.</w:t>
      </w:r>
    </w:p>
    <w:p w:rsidR="00BD5FD8" w:rsidRDefault="00BD5FD8" w:rsidP="00BD5FD8">
      <w:pPr>
        <w:pStyle w:val="31"/>
        <w:spacing w:line="100" w:lineRule="atLeast"/>
        <w:ind w:firstLine="851"/>
        <w:rPr>
          <w:szCs w:val="24"/>
        </w:rPr>
      </w:pPr>
      <w:r>
        <w:rPr>
          <w:rFonts w:eastAsia="Lucida Sans Unicode" w:cs="Tahoma"/>
          <w:color w:val="auto"/>
          <w:szCs w:val="24"/>
          <w:lang w:eastAsia="ru-RU" w:bidi="ru-RU"/>
        </w:rPr>
        <w:t>2) 1,5 процента в отношении прочих земельных участков.</w:t>
      </w:r>
    </w:p>
    <w:p w:rsidR="00BD5FD8" w:rsidRDefault="00BD5FD8" w:rsidP="00BD5FD8">
      <w:pPr>
        <w:spacing w:line="100" w:lineRule="atLeast"/>
        <w:ind w:firstLine="851"/>
        <w:rPr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</w:t>
      </w: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кроме категорий налогоплательщиков,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статье 395 Налогового кодекса Российской Федерации, от уплаты земельного налога полностью освобождаются: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организации культуры;</w:t>
      </w:r>
    </w:p>
    <w:p w:rsidR="00BD5FD8" w:rsidRDefault="00BD5FD8" w:rsidP="00BD5FD8">
      <w:pPr>
        <w:pStyle w:val="31"/>
        <w:spacing w:line="100" w:lineRule="atLeast"/>
        <w:ind w:firstLine="851"/>
        <w:rPr>
          <w:szCs w:val="24"/>
        </w:rPr>
      </w:pPr>
      <w:r>
        <w:rPr>
          <w:bCs/>
          <w:color w:val="auto"/>
          <w:szCs w:val="24"/>
        </w:rPr>
        <w:t>организации здравоохранения;</w:t>
      </w:r>
    </w:p>
    <w:p w:rsidR="00BD5FD8" w:rsidRDefault="00BD5FD8" w:rsidP="00BD5FD8">
      <w:pPr>
        <w:spacing w:line="10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образования;</w:t>
      </w:r>
    </w:p>
    <w:p w:rsidR="00BD5FD8" w:rsidRDefault="00BD5FD8" w:rsidP="00BD5FD8">
      <w:pPr>
        <w:spacing w:line="100" w:lineRule="atLeast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BD5FD8" w:rsidRDefault="00BD5FD8" w:rsidP="00BD5FD8">
      <w:pPr>
        <w:ind w:firstLine="709"/>
        <w:rPr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Налог подлежит уплате налогоплательщиками – организациями в срок не позднее 1 февраля года, следующего за истекшим налоговым периодом.</w:t>
      </w:r>
    </w:p>
    <w:p w:rsidR="00BD5FD8" w:rsidRDefault="00BD5FD8" w:rsidP="00BD5FD8">
      <w:pPr>
        <w:pStyle w:val="31"/>
        <w:spacing w:line="100" w:lineRule="atLeast"/>
        <w:ind w:firstLine="851"/>
        <w:rPr>
          <w:bCs/>
          <w:szCs w:val="24"/>
        </w:rPr>
      </w:pPr>
      <w:r>
        <w:rPr>
          <w:bCs/>
          <w:color w:val="auto"/>
          <w:szCs w:val="24"/>
        </w:rPr>
        <w:t>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Признать утратившими силу:</w:t>
      </w:r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2009 года              № 21/144-СС «Об установлении земельного налога»;</w:t>
      </w:r>
      <w:proofErr w:type="gramEnd"/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2010 года             № 31/190-СС «О внесении изменения  в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2009 года № 21/144-СС «Об установлении земельного налога»;</w:t>
      </w:r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28 июня 2013 года                  № 27/108-СС «О внесении изменения в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2009 года № 21/144-СС «Об установлении земельного налога»;</w:t>
      </w:r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26 сентября 2014 года            № 36/150-СС  «О внесении изменения в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2009 года № 21/144-СС «Об установлении земельного налога»;</w:t>
      </w:r>
    </w:p>
    <w:p w:rsidR="00BD5FD8" w:rsidRDefault="00BD5FD8" w:rsidP="00BD5FD8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26 февраля 2016 года           № 53/223-СС «О внесении изменения в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18 ноября 2009 года № 21/144-СС «Об установлении земельного налога».</w:t>
      </w:r>
    </w:p>
    <w:p w:rsidR="00BD5FD8" w:rsidRDefault="00BD5FD8" w:rsidP="00BD5FD8">
      <w:pPr>
        <w:spacing w:line="10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Настоящее решение опубликовать в районной газете «Звезда».</w:t>
      </w:r>
    </w:p>
    <w:p w:rsidR="00BD5FD8" w:rsidRDefault="00BD5FD8" w:rsidP="00BD5FD8">
      <w:pPr>
        <w:spacing w:line="100" w:lineRule="atLeast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не ранее чем по истечении одного месяца со дня официального опубликования и не ранее 1 января 2020 года.</w:t>
      </w:r>
    </w:p>
    <w:p w:rsidR="00BD5FD8" w:rsidRDefault="00BD5FD8" w:rsidP="00BD5FD8">
      <w:pPr>
        <w:pStyle w:val="BodyText2"/>
        <w:rPr>
          <w:rFonts w:ascii="Times New Roman" w:hAnsi="Times New Roman" w:cs="Times New Roman"/>
          <w:bCs/>
          <w:sz w:val="24"/>
          <w:szCs w:val="24"/>
        </w:rPr>
      </w:pPr>
    </w:p>
    <w:p w:rsidR="00BD5FD8" w:rsidRDefault="00BD5FD8" w:rsidP="00BD5FD8">
      <w:pPr>
        <w:pStyle w:val="BodyText2"/>
        <w:jc w:val="right"/>
        <w:rPr>
          <w:rFonts w:ascii="Times New Roman" w:hAnsi="Times New Roman" w:cs="Times New Roman"/>
          <w:sz w:val="24"/>
          <w:szCs w:val="24"/>
        </w:rPr>
      </w:pPr>
    </w:p>
    <w:p w:rsidR="00BD5FD8" w:rsidRDefault="00BD5FD8" w:rsidP="00BD5FD8">
      <w:pPr>
        <w:pStyle w:val="BodyText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D8" w:rsidRDefault="00BD5FD8" w:rsidP="00BD5FD8">
      <w:pPr>
        <w:pStyle w:val="BodyText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Абиссонов</w:t>
      </w:r>
      <w:proofErr w:type="spellEnd"/>
    </w:p>
    <w:p w:rsidR="004074A2" w:rsidRDefault="004074A2"/>
    <w:sectPr w:rsidR="004074A2" w:rsidSect="0040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D8"/>
    <w:rsid w:val="004074A2"/>
    <w:rsid w:val="00B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D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5FD8"/>
    <w:pPr>
      <w:numPr>
        <w:numId w:val="2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D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BD5FD8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BD5FD8"/>
    <w:pPr>
      <w:widowControl/>
      <w:autoSpaceDE/>
      <w:spacing w:line="360" w:lineRule="auto"/>
      <w:ind w:firstLine="0"/>
      <w:jc w:val="center"/>
    </w:pPr>
    <w:rPr>
      <w:rFonts w:ascii="Courier New" w:hAnsi="Courier New" w:cs="Courier New"/>
      <w:b/>
      <w:caps/>
      <w:sz w:val="26"/>
    </w:rPr>
  </w:style>
  <w:style w:type="character" w:customStyle="1" w:styleId="a6">
    <w:name w:val="Подзаголовок Знак"/>
    <w:basedOn w:val="a0"/>
    <w:link w:val="a4"/>
    <w:rsid w:val="00BD5FD8"/>
    <w:rPr>
      <w:rFonts w:ascii="Courier New" w:eastAsia="Times New Roman" w:hAnsi="Courier New" w:cs="Courier New"/>
      <w:b/>
      <w:caps/>
      <w:sz w:val="26"/>
      <w:szCs w:val="20"/>
      <w:lang w:eastAsia="ar-SA"/>
    </w:rPr>
  </w:style>
  <w:style w:type="paragraph" w:customStyle="1" w:styleId="a7">
    <w:name w:val="Заголовок"/>
    <w:basedOn w:val="a"/>
    <w:next w:val="a5"/>
    <w:rsid w:val="00BD5F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BD5FD8"/>
    <w:pPr>
      <w:spacing w:line="360" w:lineRule="auto"/>
    </w:pPr>
    <w:rPr>
      <w:rFonts w:ascii="Times New Roman" w:hAnsi="Times New Roman" w:cs="Times New Roman"/>
      <w:color w:val="0000FF"/>
      <w:sz w:val="24"/>
    </w:rPr>
  </w:style>
  <w:style w:type="paragraph" w:customStyle="1" w:styleId="BodyText2">
    <w:name w:val="Body Text 2"/>
    <w:basedOn w:val="a"/>
    <w:rsid w:val="00BD5FD8"/>
    <w:pPr>
      <w:spacing w:line="360" w:lineRule="auto"/>
      <w:ind w:firstLine="851"/>
    </w:pPr>
    <w:rPr>
      <w:sz w:val="28"/>
    </w:rPr>
  </w:style>
  <w:style w:type="paragraph" w:styleId="a5">
    <w:name w:val="Body Text"/>
    <w:basedOn w:val="a"/>
    <w:link w:val="a8"/>
    <w:uiPriority w:val="99"/>
    <w:semiHidden/>
    <w:unhideWhenUsed/>
    <w:rsid w:val="00BD5F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BD5FD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AEE48ED66CA10D77E996E270517DB8A&amp;req=doc&amp;base=RZR&amp;n=294023&amp;dst=100041&amp;fld=134&amp;REFFIELD=134&amp;REFDST=18394&amp;REFDOC=326694&amp;REFBASE=RZR&amp;stat=refcode%3D16610%3Bdstident%3D100041%3Bindex%3D23694&amp;date=26.11.2019" TargetMode="External"/><Relationship Id="rId5" Type="http://schemas.openxmlformats.org/officeDocument/2006/relationships/hyperlink" Target="https://login.consultant.ru/link/?rnd=FAEE48ED66CA10D77E996E270517DB8A&amp;req=doc&amp;base=RZR&amp;n=322877&amp;dst=100149&amp;fld=134&amp;REFFIELD=134&amp;REFDST=18394&amp;REFDOC=326694&amp;REFBASE=RZR&amp;stat=refcode%3D16610%3Bdstident%3D100149%3Bindex%3D23694&amp;date=26.11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2019-11-28T11:15:00Z</dcterms:created>
  <dcterms:modified xsi:type="dcterms:W3CDTF">2019-11-28T11:15:00Z</dcterms:modified>
</cp:coreProperties>
</file>