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2" w:rsidRPr="009C79BD" w:rsidRDefault="00326AC2" w:rsidP="00326AC2">
      <w:pPr>
        <w:spacing w:after="300"/>
        <w:ind w:firstLine="709"/>
        <w:jc w:val="center"/>
        <w:rPr>
          <w:rFonts w:eastAsia="Times New Roman"/>
          <w:b/>
          <w:color w:val="424E55"/>
          <w:sz w:val="28"/>
          <w:szCs w:val="28"/>
        </w:rPr>
      </w:pPr>
      <w:r w:rsidRPr="009C79BD">
        <w:rPr>
          <w:rFonts w:eastAsia="Times New Roman"/>
          <w:b/>
          <w:color w:val="424E55"/>
          <w:sz w:val="28"/>
          <w:szCs w:val="28"/>
        </w:rPr>
        <w:t>Материальная ответственность работника</w:t>
      </w:r>
    </w:p>
    <w:p w:rsidR="00326AC2" w:rsidRPr="00326AC2" w:rsidRDefault="00326AC2" w:rsidP="00326AC2">
      <w:r w:rsidRPr="00326AC2">
        <w:t>В соответствии со ст. 238 Трудового кодекса Российской Федерации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  <w:r w:rsidRPr="00326AC2">
        <w:br/>
        <w:t>       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r w:rsidRPr="00326AC2">
        <w:br/>
        <w:t>        Стоит обратить внимание, что статьей 5 того же кодекса предусмотрено, что 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осуществляется, в том числе 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 (абзац 2 части 1).</w:t>
      </w:r>
      <w:r w:rsidRPr="00326AC2">
        <w:br/>
        <w:t>       Нормы трудового права, содержащиеся в иных федеральных законах, должны соответствовать настоящему Кодексу (часть 3).</w:t>
      </w:r>
      <w:r w:rsidRPr="00326AC2">
        <w:br/>
        <w:t>         В случае противоречий между настоящим Кодексом и иным федеральным законом, содержащим нормы трудового права, применяется настоящий Кодекс (часть 4).</w:t>
      </w:r>
      <w:r w:rsidRPr="00326AC2">
        <w:br/>
        <w:t>        В силу пункта 1 статьи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  <w:r w:rsidRPr="00326AC2">
        <w:br/>
        <w:t>     В трудовом законодательстве не устанавливается возможность регулирования трудовых и непосредственно с ними связанных отношений с помощью норм других отраслей права и, в частности, гражданского. Вопросы материальной ответственности сторон трудового договора регулируются нормами Трудового кодекса Российской Федерации, в том числе и после его расторжения.</w:t>
      </w:r>
      <w:r w:rsidRPr="00326AC2">
        <w:br/>
        <w:t>        Таким образом, применение положений ст. 395 Гражданского кодекса Российской Федерации к отношениям, связанным с неправомерным удержаниям бывшим работником денежных средств работодателя, невозможно.</w:t>
      </w:r>
    </w:p>
    <w:p w:rsidR="00326AC2" w:rsidRPr="00326AC2" w:rsidRDefault="00326AC2" w:rsidP="00326AC2"/>
    <w:p w:rsidR="00326AC2" w:rsidRDefault="00326AC2" w:rsidP="00326AC2">
      <w:pPr>
        <w:pStyle w:val="a3"/>
        <w:shd w:val="clear" w:color="auto" w:fill="FFFFFF"/>
        <w:spacing w:after="75"/>
        <w:rPr>
          <w:rFonts w:eastAsia="Calibri"/>
          <w:sz w:val="28"/>
          <w:szCs w:val="28"/>
        </w:rPr>
      </w:pPr>
      <w:r w:rsidRPr="00EF1DFC">
        <w:rPr>
          <w:rFonts w:eastAsia="Calibri"/>
          <w:sz w:val="28"/>
          <w:szCs w:val="28"/>
        </w:rPr>
        <w:t>И.о. прокурора</w:t>
      </w:r>
    </w:p>
    <w:p w:rsidR="00326AC2" w:rsidRDefault="00326AC2" w:rsidP="00326AC2">
      <w:pPr>
        <w:pStyle w:val="a3"/>
        <w:shd w:val="clear" w:color="auto" w:fill="FFFFFF"/>
        <w:spacing w:after="75"/>
        <w:rPr>
          <w:rFonts w:eastAsia="Calibri"/>
          <w:sz w:val="28"/>
          <w:szCs w:val="28"/>
        </w:rPr>
      </w:pPr>
      <w:r w:rsidRPr="00EF1DFC">
        <w:rPr>
          <w:rFonts w:eastAsia="Calibri"/>
          <w:sz w:val="28"/>
          <w:szCs w:val="28"/>
        </w:rPr>
        <w:t xml:space="preserve">Малоархангельского района   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Pr="00EF1DFC">
        <w:rPr>
          <w:rFonts w:eastAsia="Calibri"/>
          <w:sz w:val="28"/>
          <w:szCs w:val="28"/>
        </w:rPr>
        <w:t>А.А. Прокопенков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6AC2"/>
    <w:rsid w:val="000B3C4C"/>
    <w:rsid w:val="000F19FF"/>
    <w:rsid w:val="00164D18"/>
    <w:rsid w:val="00326AC2"/>
    <w:rsid w:val="00571D96"/>
    <w:rsid w:val="006C321D"/>
    <w:rsid w:val="00735AE6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2020-03-04T12:58:00Z</dcterms:created>
  <dcterms:modified xsi:type="dcterms:W3CDTF">2020-03-04T12:59:00Z</dcterms:modified>
</cp:coreProperties>
</file>