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B0" w:rsidRDefault="001417B0" w:rsidP="001417B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417B0" w:rsidRDefault="001417B0" w:rsidP="001417B0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1417B0" w:rsidRDefault="001417B0" w:rsidP="001417B0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МАЛОАРХАНГЕЛЬСКИЙ РАЙОН</w:t>
      </w:r>
    </w:p>
    <w:p w:rsidR="001417B0" w:rsidRPr="00BA5ADF" w:rsidRDefault="00BA5ADF" w:rsidP="00BA5ADF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ДУБОВИЦКИЙ</w:t>
      </w:r>
      <w:r w:rsidR="001417B0" w:rsidRPr="00BA5ADF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1417B0" w:rsidRPr="00FC2F26" w:rsidRDefault="001417B0" w:rsidP="00BA5ADF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C2F26">
        <w:rPr>
          <w:rFonts w:ascii="Times New Roman" w:hAnsi="Times New Roman"/>
          <w:b/>
          <w:sz w:val="24"/>
          <w:szCs w:val="24"/>
        </w:rPr>
        <w:t>РЕШЕНИЕ</w:t>
      </w:r>
    </w:p>
    <w:p w:rsidR="001417B0" w:rsidRPr="00FC2F26" w:rsidRDefault="002F2D05" w:rsidP="00EA7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F26">
        <w:rPr>
          <w:rFonts w:ascii="Times New Roman" w:hAnsi="Times New Roman"/>
          <w:sz w:val="24"/>
          <w:szCs w:val="24"/>
        </w:rPr>
        <w:t xml:space="preserve">от 14 мая </w:t>
      </w:r>
      <w:r w:rsidR="001417B0" w:rsidRPr="00FC2F26">
        <w:rPr>
          <w:rFonts w:ascii="Times New Roman" w:hAnsi="Times New Roman"/>
          <w:sz w:val="24"/>
          <w:szCs w:val="24"/>
        </w:rPr>
        <w:t xml:space="preserve">2015 года                </w:t>
      </w:r>
      <w:r w:rsidRPr="00FC2F26">
        <w:rPr>
          <w:rFonts w:ascii="Times New Roman" w:hAnsi="Times New Roman"/>
          <w:sz w:val="24"/>
          <w:szCs w:val="24"/>
        </w:rPr>
        <w:t xml:space="preserve">                      </w:t>
      </w:r>
      <w:r w:rsidR="00FC2F26">
        <w:rPr>
          <w:rFonts w:ascii="Times New Roman" w:hAnsi="Times New Roman"/>
          <w:sz w:val="24"/>
          <w:szCs w:val="24"/>
        </w:rPr>
        <w:t xml:space="preserve">        </w:t>
      </w:r>
      <w:r w:rsidRPr="00FC2F26">
        <w:rPr>
          <w:rFonts w:ascii="Times New Roman" w:hAnsi="Times New Roman"/>
          <w:sz w:val="24"/>
          <w:szCs w:val="24"/>
        </w:rPr>
        <w:t xml:space="preserve">     № 43/182</w:t>
      </w:r>
      <w:r w:rsidR="001417B0" w:rsidRPr="00FC2F26">
        <w:rPr>
          <w:rFonts w:ascii="Times New Roman" w:hAnsi="Times New Roman"/>
          <w:sz w:val="24"/>
          <w:szCs w:val="24"/>
        </w:rPr>
        <w:t xml:space="preserve">  -СС</w:t>
      </w:r>
    </w:p>
    <w:p w:rsidR="001417B0" w:rsidRPr="00FC2F26" w:rsidRDefault="002F2D05" w:rsidP="002F2D05">
      <w:pPr>
        <w:rPr>
          <w:rFonts w:ascii="Times New Roman" w:hAnsi="Times New Roman"/>
          <w:sz w:val="24"/>
          <w:szCs w:val="24"/>
        </w:rPr>
      </w:pPr>
      <w:r w:rsidRPr="00FC2F26">
        <w:rPr>
          <w:rFonts w:ascii="Times New Roman" w:hAnsi="Times New Roman"/>
          <w:sz w:val="24"/>
          <w:szCs w:val="24"/>
        </w:rPr>
        <w:t>с. Дубовик</w:t>
      </w:r>
    </w:p>
    <w:p w:rsidR="00EA71F5" w:rsidRPr="00FC2F26" w:rsidRDefault="001417B0" w:rsidP="00EA71F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C2F2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F2D05" w:rsidRPr="00FC2F26">
        <w:rPr>
          <w:rFonts w:ascii="Times New Roman" w:hAnsi="Times New Roman"/>
          <w:sz w:val="24"/>
          <w:szCs w:val="24"/>
        </w:rPr>
        <w:t xml:space="preserve">             Принято на 43</w:t>
      </w:r>
      <w:r w:rsidRPr="00FC2F26">
        <w:rPr>
          <w:rFonts w:ascii="Times New Roman" w:hAnsi="Times New Roman"/>
          <w:sz w:val="24"/>
          <w:szCs w:val="24"/>
        </w:rPr>
        <w:t xml:space="preserve">  заседании </w:t>
      </w:r>
      <w:proofErr w:type="gramStart"/>
      <w:r w:rsidRPr="00FC2F26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EE7BA2" w:rsidRPr="00FC2F26" w:rsidRDefault="001417B0" w:rsidP="00EA71F5">
      <w:pPr>
        <w:rPr>
          <w:rFonts w:ascii="Times New Roman" w:hAnsi="Times New Roman"/>
          <w:sz w:val="24"/>
          <w:szCs w:val="24"/>
        </w:rPr>
      </w:pPr>
      <w:r w:rsidRPr="00FC2F2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A71F5" w:rsidRPr="00FC2F26">
        <w:rPr>
          <w:rFonts w:ascii="Times New Roman" w:hAnsi="Times New Roman"/>
          <w:sz w:val="24"/>
          <w:szCs w:val="24"/>
        </w:rPr>
        <w:t xml:space="preserve">                      </w:t>
      </w:r>
      <w:r w:rsidRPr="00FC2F26">
        <w:rPr>
          <w:rFonts w:ascii="Times New Roman" w:hAnsi="Times New Roman"/>
          <w:sz w:val="24"/>
          <w:szCs w:val="24"/>
        </w:rPr>
        <w:t xml:space="preserve">   Совета народных депутатов</w:t>
      </w:r>
      <w:r w:rsidR="00EA71F5" w:rsidRPr="00FC2F26">
        <w:rPr>
          <w:rFonts w:ascii="Times New Roman" w:hAnsi="Times New Roman"/>
          <w:sz w:val="24"/>
          <w:szCs w:val="24"/>
        </w:rPr>
        <w:t xml:space="preserve"> </w:t>
      </w:r>
    </w:p>
    <w:p w:rsidR="001417B0" w:rsidRDefault="001417B0" w:rsidP="00EA71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утверждении Положения об имущественной поддержке</w:t>
      </w:r>
    </w:p>
    <w:p w:rsidR="001417B0" w:rsidRDefault="001417B0" w:rsidP="00EA71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</w:p>
    <w:p w:rsidR="001417B0" w:rsidRDefault="00EE7BA2" w:rsidP="00FC2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Дубовицком</w:t>
      </w:r>
      <w:proofErr w:type="spellEnd"/>
      <w:r w:rsidR="001417B0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1417B0" w:rsidRDefault="001417B0" w:rsidP="004C46E3">
      <w:pPr>
        <w:spacing w:after="0"/>
        <w:ind w:left="567" w:firstLine="709"/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отдельные законодательные акты Российской Федерации», от 26.07.2006 № 135-ФЗ «О защите </w:t>
      </w:r>
      <w:r w:rsidR="00EE7BA2">
        <w:rPr>
          <w:rFonts w:ascii="Times New Roman" w:hAnsi="Times New Roman"/>
          <w:sz w:val="24"/>
          <w:szCs w:val="24"/>
        </w:rPr>
        <w:t xml:space="preserve">конкуренции», Уставом </w:t>
      </w:r>
      <w:proofErr w:type="spellStart"/>
      <w:r w:rsidR="00EE7BA2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EE7BA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E7BA2">
        <w:rPr>
          <w:rFonts w:ascii="Times New Roman" w:hAnsi="Times New Roman"/>
          <w:sz w:val="24"/>
          <w:szCs w:val="24"/>
        </w:rPr>
        <w:t>Дубовицкий</w:t>
      </w:r>
      <w:proofErr w:type="spellEnd"/>
      <w:r w:rsidR="00E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1417B0" w:rsidRDefault="001417B0" w:rsidP="001417B0">
      <w:pPr>
        <w:ind w:left="567" w:firstLine="709"/>
      </w:pPr>
      <w:r>
        <w:rPr>
          <w:rFonts w:ascii="Times New Roman" w:hAnsi="Times New Roman"/>
          <w:sz w:val="24"/>
          <w:szCs w:val="24"/>
        </w:rPr>
        <w:t>1. Утвердить Положение об имущественной поддержке субъектов малого и среднего</w:t>
      </w:r>
      <w:r w:rsidR="004C46E3">
        <w:rPr>
          <w:rFonts w:ascii="Times New Roman" w:hAnsi="Times New Roman"/>
          <w:sz w:val="24"/>
          <w:szCs w:val="24"/>
        </w:rPr>
        <w:t xml:space="preserve"> предпринимательства в </w:t>
      </w:r>
      <w:proofErr w:type="spellStart"/>
      <w:r w:rsidR="004C46E3">
        <w:rPr>
          <w:rFonts w:ascii="Times New Roman" w:hAnsi="Times New Roman"/>
          <w:sz w:val="24"/>
          <w:szCs w:val="24"/>
        </w:rPr>
        <w:t>Дубовицком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1417B0" w:rsidRDefault="001417B0" w:rsidP="001417B0">
      <w:pPr>
        <w:ind w:lef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2.Обнародовать настоящее решение.</w:t>
      </w:r>
      <w:r w:rsidR="004C46E3">
        <w:rPr>
          <w:rFonts w:ascii="Times New Roman" w:hAnsi="Times New Roman"/>
          <w:sz w:val="24"/>
          <w:szCs w:val="24"/>
        </w:rPr>
        <w:t xml:space="preserve"> </w:t>
      </w:r>
    </w:p>
    <w:p w:rsidR="004C46E3" w:rsidRDefault="004C46E3" w:rsidP="001417B0">
      <w:pPr>
        <w:ind w:left="567" w:firstLine="709"/>
        <w:rPr>
          <w:rFonts w:ascii="Times New Roman" w:hAnsi="Times New Roman"/>
          <w:sz w:val="24"/>
          <w:szCs w:val="24"/>
        </w:rPr>
      </w:pPr>
    </w:p>
    <w:p w:rsidR="001417B0" w:rsidRDefault="004C46E3" w:rsidP="004C4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1F08">
        <w:rPr>
          <w:rFonts w:ascii="Times New Roman" w:hAnsi="Times New Roman"/>
          <w:sz w:val="24"/>
          <w:szCs w:val="24"/>
        </w:rPr>
        <w:t xml:space="preserve"> Глава  </w:t>
      </w:r>
      <w:proofErr w:type="spellStart"/>
      <w:r w:rsidR="006D1F08">
        <w:rPr>
          <w:rFonts w:ascii="Times New Roman" w:hAnsi="Times New Roman"/>
          <w:sz w:val="24"/>
          <w:szCs w:val="24"/>
        </w:rPr>
        <w:t>Дубовицкого</w:t>
      </w:r>
      <w:proofErr w:type="spellEnd"/>
    </w:p>
    <w:p w:rsidR="001417B0" w:rsidRDefault="001417B0" w:rsidP="001417B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</w:t>
      </w:r>
      <w:r w:rsidR="006D1F08">
        <w:rPr>
          <w:rFonts w:ascii="Times New Roman" w:hAnsi="Times New Roman"/>
          <w:sz w:val="24"/>
          <w:szCs w:val="24"/>
        </w:rPr>
        <w:t xml:space="preserve">ия                                           В.И. </w:t>
      </w:r>
      <w:proofErr w:type="spellStart"/>
      <w:r w:rsidR="006D1F08">
        <w:rPr>
          <w:rFonts w:ascii="Times New Roman" w:hAnsi="Times New Roman"/>
          <w:sz w:val="24"/>
          <w:szCs w:val="24"/>
        </w:rPr>
        <w:t>Абиссонов</w:t>
      </w:r>
      <w:proofErr w:type="spellEnd"/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5A1D0E" w:rsidRDefault="005A1D0E" w:rsidP="005A1D0E">
      <w:pPr>
        <w:widowControl w:val="0"/>
        <w:autoSpaceDE w:val="0"/>
        <w:spacing w:after="0" w:line="240" w:lineRule="auto"/>
      </w:pPr>
    </w:p>
    <w:p w:rsidR="001417B0" w:rsidRDefault="005A1D0E" w:rsidP="005A1D0E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</w:t>
      </w:r>
      <w:r w:rsidR="001417B0">
        <w:rPr>
          <w:rFonts w:ascii="Times New Roman" w:hAnsi="Times New Roman"/>
          <w:bCs/>
          <w:sz w:val="24"/>
          <w:szCs w:val="24"/>
        </w:rPr>
        <w:t>Приложение</w:t>
      </w:r>
    </w:p>
    <w:p w:rsidR="001417B0" w:rsidRDefault="001417B0" w:rsidP="001417B0">
      <w:pPr>
        <w:widowControl w:val="0"/>
        <w:autoSpaceDE w:val="0"/>
        <w:spacing w:after="0" w:line="240" w:lineRule="auto"/>
        <w:ind w:firstLine="59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 сельского Совета</w:t>
      </w:r>
    </w:p>
    <w:p w:rsidR="001417B0" w:rsidRDefault="001417B0" w:rsidP="001417B0">
      <w:pPr>
        <w:widowControl w:val="0"/>
        <w:autoSpaceDE w:val="0"/>
        <w:spacing w:after="0" w:line="240" w:lineRule="auto"/>
        <w:ind w:firstLine="59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народных депутатов</w:t>
      </w:r>
    </w:p>
    <w:p w:rsidR="001417B0" w:rsidRDefault="005A1D0E" w:rsidP="001417B0">
      <w:pPr>
        <w:widowControl w:val="0"/>
        <w:autoSpaceDE w:val="0"/>
        <w:spacing w:after="0" w:line="240" w:lineRule="auto"/>
        <w:ind w:firstLine="59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15.05</w:t>
      </w:r>
      <w:r w:rsidR="001417B0">
        <w:rPr>
          <w:rFonts w:ascii="Times New Roman" w:hAnsi="Times New Roman"/>
          <w:bCs/>
          <w:sz w:val="24"/>
          <w:szCs w:val="24"/>
        </w:rPr>
        <w:t>.2015 г.</w:t>
      </w:r>
      <w:r>
        <w:rPr>
          <w:rFonts w:ascii="Times New Roman" w:hAnsi="Times New Roman"/>
          <w:bCs/>
          <w:sz w:val="24"/>
          <w:szCs w:val="24"/>
        </w:rPr>
        <w:t xml:space="preserve"> № 43/182-</w:t>
      </w:r>
      <w:r w:rsidR="001417B0">
        <w:rPr>
          <w:rFonts w:ascii="Times New Roman" w:hAnsi="Times New Roman"/>
          <w:bCs/>
          <w:sz w:val="26"/>
          <w:szCs w:val="26"/>
        </w:rPr>
        <w:t>СС</w:t>
      </w:r>
    </w:p>
    <w:p w:rsidR="001417B0" w:rsidRDefault="001417B0" w:rsidP="001417B0">
      <w:pPr>
        <w:rPr>
          <w:rFonts w:ascii="Times New Roman" w:hAnsi="Times New Roman"/>
          <w:b/>
          <w:bCs/>
          <w:sz w:val="28"/>
          <w:szCs w:val="28"/>
        </w:rPr>
      </w:pPr>
    </w:p>
    <w:p w:rsidR="001417B0" w:rsidRDefault="001417B0" w:rsidP="002A0FF9">
      <w:pPr>
        <w:spacing w:after="0" w:line="240" w:lineRule="auto"/>
        <w:ind w:left="-142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:rsidR="001417B0" w:rsidRDefault="001417B0" w:rsidP="002A0FF9">
      <w:pPr>
        <w:spacing w:after="0"/>
        <w:ind w:left="-142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имущественной поддержке субъектов малого и среднего предпринимательства</w:t>
      </w:r>
    </w:p>
    <w:p w:rsidR="001417B0" w:rsidRDefault="001417B0" w:rsidP="001417B0">
      <w:pPr>
        <w:ind w:left="-142" w:firstLine="709"/>
        <w:jc w:val="center"/>
      </w:pPr>
      <w:r>
        <w:rPr>
          <w:rFonts w:ascii="Times New Roman" w:hAnsi="Times New Roman"/>
        </w:rPr>
        <w:t xml:space="preserve">в </w:t>
      </w:r>
      <w:proofErr w:type="spellStart"/>
      <w:r w:rsidR="003958F1">
        <w:rPr>
          <w:rFonts w:ascii="Times New Roman" w:hAnsi="Times New Roman"/>
        </w:rPr>
        <w:t>Дубовицком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</w:rPr>
      </w:pPr>
    </w:p>
    <w:p w:rsidR="001417B0" w:rsidRDefault="002A0FF9" w:rsidP="002A0FF9">
      <w:pPr>
        <w:spacing w:after="0"/>
        <w:ind w:lef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Перечень.</w:t>
      </w:r>
    </w:p>
    <w:p w:rsidR="001417B0" w:rsidRPr="003958F1" w:rsidRDefault="001417B0" w:rsidP="003958F1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требованиями Гражданского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rPr>
          <w:rFonts w:ascii="Times New Roman" w:hAnsi="Times New Roman"/>
          <w:sz w:val="24"/>
          <w:szCs w:val="24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 135-ФЗ «О защи</w:t>
      </w:r>
      <w:r w:rsidR="003958F1">
        <w:rPr>
          <w:rFonts w:ascii="Times New Roman" w:hAnsi="Times New Roman"/>
          <w:sz w:val="24"/>
          <w:szCs w:val="24"/>
        </w:rPr>
        <w:t xml:space="preserve">те конкуренции», Устава </w:t>
      </w:r>
      <w:proofErr w:type="spellStart"/>
      <w:r w:rsidR="003958F1">
        <w:rPr>
          <w:rFonts w:ascii="Times New Roman" w:hAnsi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</w:t>
      </w:r>
      <w:proofErr w:type="gramEnd"/>
      <w:r>
        <w:rPr>
          <w:rFonts w:ascii="Times New Roman" w:hAnsi="Times New Roman"/>
          <w:sz w:val="24"/>
          <w:szCs w:val="24"/>
        </w:rPr>
        <w:t>, образующим инфраструктуру поддержки субъектов малого и среднего предпринимательства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2.1. Формирование, ведение Перечня осуществля</w:t>
      </w:r>
      <w:r w:rsidR="00AD10C9">
        <w:rPr>
          <w:rFonts w:ascii="Times New Roman" w:hAnsi="Times New Roman"/>
          <w:sz w:val="24"/>
          <w:szCs w:val="24"/>
        </w:rPr>
        <w:t xml:space="preserve">ется  администрацией </w:t>
      </w:r>
      <w:proofErr w:type="spellStart"/>
      <w:r w:rsidR="00AD10C9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AD1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(далее – Администрация).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2.2. Решение об утверждении Перечня, о включении (исключении) в Перечень сведений о муниципальном имуществе оформляется распо</w:t>
      </w:r>
      <w:r w:rsidR="00AD10C9">
        <w:rPr>
          <w:rFonts w:ascii="Times New Roman" w:hAnsi="Times New Roman"/>
          <w:sz w:val="24"/>
          <w:szCs w:val="24"/>
        </w:rPr>
        <w:t xml:space="preserve">ряжением администрации </w:t>
      </w:r>
      <w:proofErr w:type="spellStart"/>
      <w:r w:rsidR="00AD10C9">
        <w:rPr>
          <w:rFonts w:ascii="Times New Roman" w:hAnsi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Перечень ведется в электронном виде и на бумажном носителе.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2.4. Администрация в течение пяти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распоряжения администрации об утверждении Перечня, о включении (исключении) в Перечень сведений о муниципальном имуществе передает соответствующие сведения, внесенные в Перечень, для размещения на официальном сайте в сети Интернет и опубликования в газете </w:t>
      </w:r>
      <w:proofErr w:type="spellStart"/>
      <w:r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«Звезда».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В Перечень могут включаться объекты, являющиеся собственностью муни</w:t>
      </w:r>
      <w:r w:rsidR="00E6327D">
        <w:rPr>
          <w:rFonts w:ascii="Times New Roman" w:hAnsi="Times New Roman"/>
          <w:sz w:val="24"/>
          <w:szCs w:val="24"/>
        </w:rPr>
        <w:t xml:space="preserve">ципального образования </w:t>
      </w:r>
      <w:proofErr w:type="spellStart"/>
      <w:r w:rsidR="00E6327D">
        <w:rPr>
          <w:rFonts w:ascii="Times New Roman" w:hAnsi="Times New Roman"/>
          <w:sz w:val="24"/>
          <w:szCs w:val="24"/>
        </w:rPr>
        <w:t>Дубовицкое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не закрепленные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свободные от иных прав третьих лиц (за исключением имущественных прав субъектов малого и среднего предпринимательства): земельные участки, здания, строения, сооружения, нежилые помещения, оборудование, машины, транспортные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 (далее - объекты).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2.6. Администрация на основании правоустанавливающих документов, данных Реестра объектов муниципальной собственности вносит в Перечень сведения о наименовании объекта, площади, местоположении, и иных характеристиках, необходимых для его идентификации.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отдельную графу заносятся сведения о предоставлении объекта в аренду, сведения о субъектах малого и среднего предпринимательства, в том числе: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субъекта малого и среднего предпринимательства;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дата, номер, срок действия соответствующего договора.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Перечень подлежит уточнению в случае необходимости исключения объекта либо включения новых объектов. Объекты могут быть исключены из Перечня в случаях: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объекта для указанных в настоящем Положении целей;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- исключения видов деятельности, для которых предоставлен или может быть предоставлен объект из перечня социально значимых видов деятельности;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необходимости использования помещения для муниципальных или государственных нужд;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- в случае передачи в установленном законом порядке объекта в федеральную собственность или собственность Орловской области.</w:t>
      </w:r>
    </w:p>
    <w:p w:rsidR="002818DA" w:rsidRDefault="001417B0" w:rsidP="002818DA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1417B0" w:rsidRPr="002818DA" w:rsidRDefault="001417B0" w:rsidP="002818DA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3.1. Право заключения договора аренды муниципального имущества, включенного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торгов (аукциона, конкурса), за исключением случаев, установленных Федеральным законом от 26.07.2006 № 135-ФЗ «О защите конкуренции».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Проведение торгов на право заключения договоров аренды муниципального имущества, включенного в Перечень, осуществляется в соответствии с 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3.3. Договор аренды муниципального имущества, входящего в Перечень, заключается с арендатором на срок не менее пяти лет. </w:t>
      </w:r>
      <w:proofErr w:type="gramStart"/>
      <w:r>
        <w:rPr>
          <w:rFonts w:ascii="Times New Roman" w:hAnsi="Times New Roman"/>
          <w:sz w:val="24"/>
          <w:szCs w:val="24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>
        <w:rPr>
          <w:rFonts w:ascii="Times New Roman" w:hAnsi="Times New Roman"/>
          <w:sz w:val="24"/>
          <w:szCs w:val="24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3.4. Субъектам малого и среднего предпринимательства, занимающимся социально значимыми видами деятельности и соблюдающим условия, установленные в пункте 3.7 настоящего Положения,</w:t>
      </w:r>
      <w:r w:rsidR="002818DA">
        <w:rPr>
          <w:rFonts w:ascii="Times New Roman" w:hAnsi="Times New Roman"/>
          <w:sz w:val="24"/>
          <w:szCs w:val="24"/>
        </w:rPr>
        <w:t xml:space="preserve"> на основании решения </w:t>
      </w:r>
      <w:proofErr w:type="spellStart"/>
      <w:r w:rsidR="002818DA">
        <w:rPr>
          <w:rFonts w:ascii="Times New Roman" w:hAnsi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народных депутатов, не ранее 6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аренды могут предоставляться, с предварительного письменного согласия антимонопольного органа, льготы по арендной плате.</w:t>
      </w:r>
    </w:p>
    <w:p w:rsidR="001417B0" w:rsidRDefault="001417B0" w:rsidP="001417B0">
      <w:pPr>
        <w:ind w:left="-142" w:firstLine="709"/>
        <w:jc w:val="both"/>
      </w:pPr>
      <w:bookmarkStart w:id="0" w:name="Par9"/>
      <w:r>
        <w:rPr>
          <w:rFonts w:ascii="Times New Roman" w:hAnsi="Times New Roman"/>
          <w:sz w:val="24"/>
          <w:szCs w:val="24"/>
        </w:rPr>
        <w:t>3.5. К социально значимым видам деятельности относится оказание следующих услуг: и</w:t>
      </w:r>
      <w:bookmarkEnd w:id="0"/>
      <w:r>
        <w:rPr>
          <w:rFonts w:ascii="Times New Roman" w:hAnsi="Times New Roman"/>
          <w:sz w:val="24"/>
          <w:szCs w:val="24"/>
        </w:rPr>
        <w:t>зготовление продукции производственно-технического назначения, инновационная деятельность, включая разработку и производство новых видов продукции и технологий, производство товаров народного потребления, экологическая и природоохранная деятельность, производство продовольственных товаров, производство и переработка сельскохозяйственной продукции, жилищно-коммунальное хозяйство, развитие туризма и гостиничного бизнеса, народные художественные промыслы.</w:t>
      </w:r>
    </w:p>
    <w:p w:rsidR="001417B0" w:rsidRPr="002818DA" w:rsidRDefault="001417B0" w:rsidP="002818DA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3.6. Льготы по арендной плате субъектам малого и среднего предпринимательства, занимающимся видами деятельности, указанными в  пункте 3.5 настоящего Положения, устанавливаются путем применения следующих коэффициентов к начисленному размеру арендной платы:</w:t>
      </w:r>
    </w:p>
    <w:tbl>
      <w:tblPr>
        <w:tblW w:w="9780" w:type="dxa"/>
        <w:tblInd w:w="-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377"/>
        <w:gridCol w:w="2410"/>
      </w:tblGrid>
      <w:tr w:rsidR="001417B0" w:rsidTr="001417B0">
        <w:trPr>
          <w:trHeight w:val="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417B0" w:rsidRDefault="001417B0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 услуг (деятельности)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Понижающий</w:t>
            </w:r>
          </w:p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коэффициент</w:t>
            </w:r>
          </w:p>
        </w:tc>
      </w:tr>
      <w:tr w:rsidR="001417B0" w:rsidTr="001417B0">
        <w:trPr>
          <w:trHeight w:val="4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продукции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производственно-технического</w:t>
            </w:r>
            <w:proofErr w:type="gramEnd"/>
          </w:p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417B0" w:rsidTr="001417B0">
        <w:trPr>
          <w:trHeight w:val="4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деятельность, включая разработку и</w:t>
            </w:r>
          </w:p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новых видов продукции и технологий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417B0" w:rsidTr="001417B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товаров народного потребления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17B0" w:rsidTr="001417B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 природоохранная деятельность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17B0" w:rsidTr="001417B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продовольственных товаров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417B0" w:rsidTr="001417B0">
        <w:trPr>
          <w:trHeight w:val="4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и переработка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proofErr w:type="gramEnd"/>
          </w:p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17B0" w:rsidTr="001417B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17B0" w:rsidTr="001417B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туризма и гостиничного бизнеса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417B0" w:rsidTr="001417B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17B0" w:rsidRDefault="001417B0">
            <w:pPr>
              <w:ind w:left="-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1417B0" w:rsidRDefault="001417B0" w:rsidP="001417B0">
      <w:pPr>
        <w:ind w:left="-142" w:firstLine="709"/>
        <w:jc w:val="both"/>
      </w:pPr>
      <w:bookmarkStart w:id="1" w:name="Par40"/>
      <w:r>
        <w:rPr>
          <w:rFonts w:ascii="Times New Roman" w:hAnsi="Times New Roman"/>
          <w:sz w:val="24"/>
          <w:szCs w:val="24"/>
        </w:rPr>
        <w:lastRenderedPageBreak/>
        <w:t>3.7. Льготы по арендной плате субъектам малого и среднего предпринимательства пр</w:t>
      </w:r>
      <w:bookmarkEnd w:id="1"/>
      <w:r>
        <w:rPr>
          <w:rFonts w:ascii="Times New Roman" w:hAnsi="Times New Roman"/>
          <w:sz w:val="24"/>
          <w:szCs w:val="24"/>
        </w:rPr>
        <w:t>едоставляются при соблюдении следующих условий: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отсутствие задолженности по арендной плате за имущество, входящее в Перечень на момент подачи обращения за предоставлением льготы;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2) использование арендатором арендуемого имущества по целевому назначению согласно соответствующему социально значимому виду деятельности, подтвержденному выпиской из Единого государственного реестра юридических лиц, либо выпиской из Единого государственного реестра индивидуальных предпринимателей.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3.8. Субъекты малого и среднего предпринимательства (далее – заявитель) подают в Администрацию заявление о предоставлении льготы по арендной плате. К указанному заявлению прилагаются: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либо выписка из Единого государственного реестра индивидуальных предпринимателей, подтверждающая право осуществления указанных видов деятельности;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копии учредительных документов;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средней численности работников за предшествующий календарный год;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г) сведения о выручке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год;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бухгалтерский баланс заявителя по состоянию на последнюю отчетную дату.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Документы (их копии, сведения, содержащиеся в них), указанные в подпунктах «а», «в»,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» настоящего пункта, не могут быть затребованы у заявителя, при этом заявитель вправе их представить вместе с заявлением.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3.9. По результатам рассмотрения документов заявителя Администрация в течение 15 дней со дня регистрации заявления г</w:t>
      </w:r>
      <w:r w:rsidR="002818DA">
        <w:rPr>
          <w:rFonts w:ascii="Times New Roman" w:hAnsi="Times New Roman"/>
          <w:sz w:val="24"/>
          <w:szCs w:val="24"/>
        </w:rPr>
        <w:t xml:space="preserve">отовит проект решения </w:t>
      </w:r>
      <w:proofErr w:type="spellStart"/>
      <w:r w:rsidR="002818DA">
        <w:rPr>
          <w:rFonts w:ascii="Times New Roman" w:hAnsi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Совета народных депутатов о предоставлении льготы по арендной плате либо об отказе в предоставлении льготы. Проект соответствующего ре</w:t>
      </w:r>
      <w:r w:rsidR="002818DA">
        <w:rPr>
          <w:rFonts w:ascii="Times New Roman" w:hAnsi="Times New Roman"/>
          <w:sz w:val="24"/>
          <w:szCs w:val="24"/>
        </w:rPr>
        <w:t xml:space="preserve">шения </w:t>
      </w:r>
      <w:proofErr w:type="spellStart"/>
      <w:r w:rsidR="002818DA">
        <w:rPr>
          <w:rFonts w:ascii="Times New Roman" w:hAnsi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Совета народных депутатов подлежит рассм</w:t>
      </w:r>
      <w:r w:rsidR="002818DA">
        <w:rPr>
          <w:rFonts w:ascii="Times New Roman" w:hAnsi="Times New Roman"/>
          <w:sz w:val="24"/>
          <w:szCs w:val="24"/>
        </w:rPr>
        <w:t xml:space="preserve">отрению на заседании </w:t>
      </w:r>
      <w:proofErr w:type="spellStart"/>
      <w:r w:rsidR="002818DA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281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Совета народных депутатов.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В предоставлении льготы отказывается в случае, если: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1) не представлены необходимые документы или представлены недостоверные сведения и документы;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выполнены условия оказания поддержки;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417B0" w:rsidRDefault="001417B0" w:rsidP="001417B0">
      <w:pPr>
        <w:ind w:left="-142" w:firstLine="709"/>
        <w:jc w:val="both"/>
      </w:pPr>
      <w:r>
        <w:rPr>
          <w:rFonts w:ascii="Times New Roman" w:hAnsi="Times New Roman"/>
          <w:sz w:val="24"/>
          <w:szCs w:val="24"/>
        </w:rPr>
        <w:t>3.11. В течение пяти дней со дня принятия решения о предоставлении льготы либо об отказе в предоставлении льготы Администрация информирует заявителя о принятии соответствующего решения.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17B0" w:rsidRDefault="001417B0" w:rsidP="001417B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17B0" w:rsidRDefault="001417B0" w:rsidP="001417B0">
      <w:pPr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1417B0" w:rsidRDefault="001417B0" w:rsidP="001417B0">
      <w:pPr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1417B0" w:rsidRDefault="001417B0" w:rsidP="001417B0">
      <w:pPr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1417B0" w:rsidRDefault="001417B0" w:rsidP="001417B0">
      <w:pPr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1417B0" w:rsidRDefault="001417B0" w:rsidP="001417B0">
      <w:pPr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1417B0" w:rsidRDefault="001417B0" w:rsidP="001417B0">
      <w:pPr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1417B0" w:rsidRDefault="001417B0" w:rsidP="001417B0">
      <w:pPr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4C01D7" w:rsidRDefault="004C01D7"/>
    <w:sectPr w:rsidR="004C01D7" w:rsidSect="004C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B0"/>
    <w:rsid w:val="001417B0"/>
    <w:rsid w:val="0023609E"/>
    <w:rsid w:val="002818DA"/>
    <w:rsid w:val="002A0FF9"/>
    <w:rsid w:val="002F2D05"/>
    <w:rsid w:val="003958F1"/>
    <w:rsid w:val="004C01D7"/>
    <w:rsid w:val="004C46E3"/>
    <w:rsid w:val="005A1D0E"/>
    <w:rsid w:val="006D1F08"/>
    <w:rsid w:val="00AD10C9"/>
    <w:rsid w:val="00BA5ADF"/>
    <w:rsid w:val="00E6327D"/>
    <w:rsid w:val="00EA71F5"/>
    <w:rsid w:val="00EE7BA2"/>
    <w:rsid w:val="00FC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B0"/>
    <w:pPr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2144</Words>
  <Characters>12222</Characters>
  <Application>Microsoft Office Word</Application>
  <DocSecurity>0</DocSecurity>
  <Lines>101</Lines>
  <Paragraphs>28</Paragraphs>
  <ScaleCrop>false</ScaleCrop>
  <Company>Microsoft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2020-05-26T08:12:00Z</dcterms:created>
  <dcterms:modified xsi:type="dcterms:W3CDTF">2020-05-26T08:28:00Z</dcterms:modified>
</cp:coreProperties>
</file>