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embeddings/_____Microsoft_Office_Excel2.xlsx" ContentType="application/vnd.openxmlformats-officedocument.spreadsheetml.sheet"/>
  <Override PartName="/word/embeddings/_____Microsoft_Office_Excel3.xlsx" ContentType="application/vnd.openxmlformats-officedocument.spreadsheetml.sheet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-1134" w:right="-426" w:hanging="0"/>
        <w:jc w:val="center"/>
        <w:rPr>
          <w:rFonts w:ascii="Comic Sans MS" w:hAnsi="Comic Sans MS"/>
          <w:b/>
          <w:sz w:val="56"/>
          <w:szCs w:val="56"/>
        </w:rPr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-481330</wp:posOffset>
            </wp:positionH>
            <wp:positionV relativeFrom="paragraph">
              <wp:posOffset>-83820</wp:posOffset>
            </wp:positionV>
            <wp:extent cx="6606540" cy="42513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1134" w:right="-426" w:hanging="0"/>
        <w:jc w:val="center"/>
        <w:rPr>
          <w:rFonts w:ascii="Comic Sans MS" w:hAnsi="Comic Sans MS"/>
          <w:b/>
          <w:sz w:val="56"/>
          <w:szCs w:val="56"/>
        </w:rPr>
      </w:pPr>
      <w:r>
        <w:rPr/>
      </w:r>
    </w:p>
    <w:p>
      <w:pPr>
        <w:pStyle w:val="Normal"/>
        <w:ind w:left="-1134" w:right="-426" w:hanging="0"/>
        <w:jc w:val="center"/>
        <w:rPr>
          <w:rFonts w:ascii="Comic Sans MS" w:hAnsi="Comic Sans MS"/>
          <w:b/>
          <w:sz w:val="56"/>
          <w:szCs w:val="56"/>
        </w:rPr>
      </w:pPr>
      <w:r>
        <w:rPr/>
      </w:r>
    </w:p>
    <w:p>
      <w:pPr>
        <w:pStyle w:val="Normal"/>
        <w:ind w:left="-1134" w:right="-426" w:hanging="0"/>
        <w:jc w:val="center"/>
        <w:rPr>
          <w:rFonts w:ascii="Comic Sans MS" w:hAnsi="Comic Sans MS"/>
          <w:b/>
          <w:sz w:val="56"/>
          <w:szCs w:val="56"/>
        </w:rPr>
      </w:pPr>
      <w:r>
        <w:rPr/>
      </w:r>
    </w:p>
    <w:p>
      <w:pPr>
        <w:pStyle w:val="Normal"/>
        <w:ind w:left="-1134" w:right="-426" w:hanging="0"/>
        <w:jc w:val="center"/>
        <w:rPr/>
      </w:pPr>
      <w:r>
        <w:rPr>
          <w:rFonts w:ascii="Comic Sans MS" w:hAnsi="Comic Sans MS"/>
          <w:b/>
          <w:sz w:val="56"/>
          <w:szCs w:val="56"/>
        </w:rPr>
        <w:t>Открытый бюджет для граждан</w:t>
      </w:r>
    </w:p>
    <w:p>
      <w:pPr>
        <w:sectPr>
          <w:footerReference w:type="default" r:id="rId5"/>
          <w:type w:val="nextPage"/>
          <w:pgSz w:w="11906" w:h="16838"/>
          <w:pgMar w:left="1701" w:right="566" w:gutter="0" w:header="0" w:top="567" w:footer="0" w:bottom="709"/>
          <w:pgNumType w:fmt="decimal"/>
          <w:formProt w:val="false"/>
          <w:textDirection w:val="lrTb"/>
          <w:docGrid w:type="default" w:linePitch="360" w:charSpace="4096"/>
        </w:sectPr>
        <w:pStyle w:val="Normal"/>
        <w:ind w:left="-1134" w:right="-284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-765175</wp:posOffset>
            </wp:positionH>
            <wp:positionV relativeFrom="paragraph">
              <wp:posOffset>-79375</wp:posOffset>
            </wp:positionV>
            <wp:extent cx="3855720" cy="337058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2878455</wp:posOffset>
            </wp:positionH>
            <wp:positionV relativeFrom="paragraph">
              <wp:posOffset>-79375</wp:posOffset>
            </wp:positionV>
            <wp:extent cx="3397885" cy="337820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567"/>
        <w:jc w:val="center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1. ВВОДНАЯ ЧАСТЬ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567"/>
        <w:jc w:val="center"/>
        <w:outlineLvl w:val="0"/>
        <w:rPr>
          <w:highlight w:val="none"/>
          <w:shd w:fill="auto" w:val="clear"/>
        </w:rPr>
      </w:pPr>
      <w:r>
        <w:rPr>
          <w:rFonts w:ascii="Times New Roman" w:hAnsi="Times New Roman"/>
          <w:b/>
          <w:bCs/>
          <w:sz w:val="28"/>
          <w:szCs w:val="28"/>
          <w:shd w:fill="auto" w:val="clear"/>
        </w:rPr>
        <w:t>1.1. Основные понятия и термины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bCs/>
          <w:sz w:val="28"/>
          <w:szCs w:val="28"/>
          <w:shd w:fill="auto" w:val="clear"/>
        </w:rPr>
        <w:t xml:space="preserve">Бюджет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b/>
          <w:bCs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Cs/>
          <w:sz w:val="28"/>
          <w:szCs w:val="28"/>
          <w:shd w:fill="auto" w:val="clear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</w:t>
      </w:r>
    </w:p>
    <w:p>
      <w:pPr>
        <w:pStyle w:val="Normal"/>
        <w:spacing w:lineRule="auto" w:line="240" w:before="0" w:after="0"/>
        <w:ind w:left="-284" w:firstLine="568"/>
        <w:jc w:val="both"/>
        <w:rPr/>
      </w:pPr>
      <w:r>
        <w:rPr>
          <w:rFonts w:ascii="Times New Roman" w:hAnsi="Times New Roman"/>
          <w:b/>
          <w:sz w:val="28"/>
          <w:szCs w:val="28"/>
          <w:shd w:fill="auto" w:val="clear"/>
        </w:rPr>
        <w:t>Бюджетная  политика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Style w:val="Strong"/>
          <w:rFonts w:ascii="Times New Roman" w:hAnsi="Times New Roman"/>
          <w:b w:val="false"/>
          <w:sz w:val="28"/>
          <w:szCs w:val="28"/>
          <w:shd w:fill="auto" w:val="clear"/>
        </w:rPr>
        <w:t>совокупность принимаемых решений, осуществляемых органами законодательной (представительной) и исполнительной власти мер, связанных с определением основных направлений развития бюджетных отношений и выработкой конкретных путей их использования в интересах граждан, общества и государства</w:t>
      </w:r>
      <w:r>
        <w:rPr>
          <w:rStyle w:val="Strong"/>
          <w:rFonts w:ascii="Verdana" w:hAnsi="Verdana"/>
          <w:sz w:val="21"/>
          <w:szCs w:val="21"/>
          <w:shd w:fill="auto" w:val="clear"/>
        </w:rPr>
        <w:t>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bCs/>
          <w:iCs/>
          <w:sz w:val="28"/>
          <w:szCs w:val="28"/>
          <w:shd w:fill="auto" w:val="clear"/>
        </w:rPr>
        <w:t>Доходы бюджета</w:t>
      </w:r>
      <w:r>
        <w:rPr>
          <w:rFonts w:ascii="Times New Roman" w:hAnsi="Times New Roman"/>
          <w:bCs/>
          <w:iCs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bCs/>
          <w:iCs/>
          <w:sz w:val="28"/>
          <w:szCs w:val="28"/>
          <w:shd w:fill="auto" w:val="clear"/>
        </w:rPr>
        <w:t xml:space="preserve"> поступающие в бюджет денежные средства, за исключением средств, являющихся в соответствии с Бюджетным кодексом Российской Федерации источниками финансирования дефицита бюджета.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Расходы бюджета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выплачиваемые из бюджета денежные средства, за исключением средств, являющихся в соответствии с </w:t>
      </w:r>
      <w:r>
        <w:rPr>
          <w:rFonts w:ascii="Times New Roman" w:hAnsi="Times New Roman"/>
          <w:bCs/>
          <w:iCs/>
          <w:sz w:val="28"/>
          <w:szCs w:val="28"/>
          <w:shd w:fill="auto" w:val="clear"/>
        </w:rPr>
        <w:t xml:space="preserve">Бюджетным кодексом Российской Федерации </w:t>
      </w:r>
      <w:r>
        <w:rPr>
          <w:rFonts w:ascii="Times New Roman" w:hAnsi="Times New Roman"/>
          <w:sz w:val="28"/>
          <w:szCs w:val="28"/>
          <w:shd w:fill="auto" w:val="clear"/>
        </w:rPr>
        <w:t>источниками финансирования дефицита бюджета.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 xml:space="preserve">Дефицит бюджета – </w:t>
      </w:r>
      <w:r>
        <w:rPr>
          <w:rFonts w:ascii="Times New Roman" w:hAnsi="Times New Roman"/>
          <w:sz w:val="28"/>
          <w:szCs w:val="28"/>
          <w:shd w:fill="auto" w:val="clear"/>
        </w:rPr>
        <w:t>превышение расходов бюджета над его доходами.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Профицит бюджета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превышение доходов бюджета над его расходами.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bCs/>
          <w:iCs/>
          <w:sz w:val="28"/>
          <w:szCs w:val="28"/>
          <w:shd w:fill="auto" w:val="clear"/>
        </w:rPr>
        <w:t>М</w:t>
      </w:r>
      <w:r>
        <w:rPr>
          <w:rFonts w:ascii="Times New Roman" w:hAnsi="Times New Roman"/>
          <w:b/>
          <w:sz w:val="28"/>
          <w:szCs w:val="28"/>
          <w:shd w:fill="auto" w:val="clear"/>
        </w:rPr>
        <w:t>ежбюджетные отношения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Межбюджетные трансферты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 xml:space="preserve">Текущий финансовый год </w:t>
      </w:r>
      <w:r>
        <w:rPr>
          <w:rFonts w:ascii="Times New Roman" w:hAnsi="Times New Roman"/>
          <w:sz w:val="28"/>
          <w:szCs w:val="28"/>
          <w:shd w:fill="auto" w:val="clear"/>
        </w:rPr>
        <w:t>–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Очередной финансовый год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год, следующий за текущим финансовым годом.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Плановый период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два финансовых года, следующие за очередным финансовым годом.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Отчетный финансовый год 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год, предшествующий текущему финансовому году. 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Публичные слушания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8"/>
          <w:szCs w:val="28"/>
          <w:shd w:fill="auto" w:val="clear"/>
        </w:rPr>
        <w:t>–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форма реализации прав населения муниципального образования (общественности)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b/>
          <w:sz w:val="28"/>
          <w:szCs w:val="28"/>
          <w:highlight w:val="none"/>
          <w:shd w:fill="F6F9D4" w:val="clear"/>
        </w:rPr>
      </w:pPr>
      <w:r>
        <w:rPr>
          <w:rFonts w:ascii="Times New Roman" w:hAnsi="Times New Roman"/>
          <w:b/>
          <w:sz w:val="28"/>
          <w:szCs w:val="28"/>
          <w:shd w:fill="F6F9D4" w:val="clear"/>
        </w:rPr>
      </w:r>
    </w:p>
    <w:p>
      <w:pPr>
        <w:pStyle w:val="Normal"/>
        <w:spacing w:lineRule="auto" w:line="240" w:before="0" w:after="0"/>
        <w:ind w:left="-284" w:firstLine="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 Нормативно-правовая база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8"/>
          <w:szCs w:val="28"/>
          <w:shd w:fill="auto" w:val="clear"/>
        </w:rPr>
        <w:t>Составление, рассмотрение, утверждение и исполнение местного бюджета осуществляется в соответствии с Бюджетным кодексом РФ, Решением Малоархангельского районного совета народных депутатов от 21 октября 2010 года № 38/362-РС «О бюджетном процессе в Малоархангельском районе», Уставом Малоархангельского района, а также ежегодно принимаемыми: Законом Орловской области «Об областном бюджете на очередной финансовый год и на плановый период» и Малоархангельского районного совета народных депутатов «О районном бюджете на очередной финансовый год и на плановый период».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284" w:firstLine="56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Основные сведения о межбюджетных отношениях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Межбюджетные отношения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 предоставляются в форме: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дотаций на выравнивание бюджетной обеспеченности;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субсидий;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субвенций для реализации полномочий органов государственной власти субъектов Российской Федерации;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иных межбюджетных трансфертов.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Орловской области «Об областном бюджете на очередной финансовый год и на плановый период».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Дотации – </w:t>
      </w:r>
      <w:r>
        <w:rPr>
          <w:rFonts w:ascii="Times New Roman" w:hAnsi="Times New Roman"/>
          <w:sz w:val="28"/>
          <w:szCs w:val="28"/>
        </w:rPr>
        <w:t>межбюджетные трансферты, предоставляемые на безвозмездной и безвозвратной основе без установления направлений и (или) условий их использования.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Субсидиями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>являются межбюджетные трансферты, предоставляемые бюджетам муниципальных образований из областного бюджета в целях софинансирования расходных обязательств, возникающих при выполнении полномочий органов местного самоуправления по вопросам местного значения.</w:t>
      </w:r>
      <w:r>
        <w:rPr/>
        <w:t xml:space="preserve"> </w:t>
      </w:r>
      <w:r>
        <w:rPr>
          <w:rFonts w:ascii="Times New Roman" w:hAnsi="Times New Roman"/>
          <w:sz w:val="28"/>
          <w:szCs w:val="28"/>
        </w:rPr>
        <w:t xml:space="preserve">Цели и условия предоставления и расходования субсидий местным бюджетам из областного бюджета,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РФ. </w:t>
      </w:r>
      <w:r>
        <w:rPr>
          <w:rFonts w:ascii="Times New Roman" w:hAnsi="Times New Roman"/>
          <w:b/>
          <w:sz w:val="28"/>
          <w:szCs w:val="28"/>
        </w:rPr>
        <w:t>Субсидии носят целевой характер и не подлежат направлению на иные цели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Субвенциями</w:t>
      </w:r>
      <w:r>
        <w:rPr>
          <w:rFonts w:ascii="Times New Roman" w:hAnsi="Times New Roman"/>
          <w:sz w:val="28"/>
          <w:szCs w:val="28"/>
        </w:rPr>
        <w:t xml:space="preserve"> являются межбюджетные трансферты, предоставляемые  местным бюджетам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органами местного самоуправления в установленном порядке. 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методиками, утверждаемыми законами субъекта РФ, либо в соответствии с нормативными правовыми актами федеральных органов государственной власти, если субвенции предоставляются из федерального бюджета. </w:t>
      </w:r>
      <w:r>
        <w:rPr>
          <w:rFonts w:ascii="Times New Roman" w:hAnsi="Times New Roman"/>
          <w:b/>
          <w:sz w:val="28"/>
          <w:szCs w:val="28"/>
        </w:rPr>
        <w:t>Субвенции носят целевой характер и не подлежат направлению на иные цели</w:t>
      </w:r>
      <w:r>
        <w:rPr>
          <w:rFonts w:ascii="Times New Roman" w:hAnsi="Times New Roman"/>
          <w:sz w:val="28"/>
          <w:szCs w:val="28"/>
        </w:rPr>
        <w:t>.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В случаях и порядке, предусмотренных Законами Орловской области и иными нормативными правовыми актами органов государственной власти Орловской области, местным бюджетам могут быть предоставлены </w:t>
      </w:r>
      <w:r>
        <w:rPr>
          <w:rFonts w:ascii="Times New Roman" w:hAnsi="Times New Roman"/>
          <w:b/>
          <w:sz w:val="28"/>
          <w:szCs w:val="28"/>
          <w:shd w:fill="auto" w:val="clear"/>
        </w:rPr>
        <w:t>иные межбюджетные трансферты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из областного бюджета, которые </w:t>
      </w:r>
      <w:r>
        <w:rPr>
          <w:rFonts w:ascii="Times New Roman" w:hAnsi="Times New Roman"/>
          <w:b/>
          <w:sz w:val="28"/>
          <w:szCs w:val="28"/>
          <w:shd w:fill="auto" w:val="clear"/>
        </w:rPr>
        <w:t>могут иметь как целевой характер, так и предоставляться в виде дотации на поддержку мер по обеспечению сбалансированности местных бюджетов без целевой направленности</w:t>
      </w:r>
      <w:r>
        <w:rPr>
          <w:rFonts w:ascii="Times New Roman" w:hAnsi="Times New Roman"/>
          <w:sz w:val="28"/>
          <w:szCs w:val="28"/>
          <w:shd w:fill="auto" w:val="clear"/>
        </w:rPr>
        <w:t>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обязательств, который определяет объемы средств местного бюджета, необходимых для исполнения расходных обязательств района по вопросам местного значения и переданных полномочий. 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Межбюджетные трансферты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из бюджета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 бюджетам поселений, входящим в состав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района, предоставляются в форме: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– </w:t>
      </w:r>
      <w:r>
        <w:rPr>
          <w:rFonts w:ascii="Times New Roman" w:hAnsi="Times New Roman"/>
          <w:sz w:val="28"/>
          <w:szCs w:val="28"/>
          <w:shd w:fill="auto" w:val="clear"/>
        </w:rPr>
        <w:t>дотаций на выравнивание бюджетной обеспеченности поселений;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– </w:t>
      </w:r>
      <w:r>
        <w:rPr>
          <w:rFonts w:ascii="Times New Roman" w:hAnsi="Times New Roman"/>
          <w:sz w:val="28"/>
          <w:szCs w:val="28"/>
          <w:shd w:fill="auto" w:val="clear"/>
        </w:rPr>
        <w:t>иных межбюджетных трансфертов.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Дотации на выравнивание бюджетной обеспеченности поселений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составляют районный фонд финансовой поддержки поселений. Районный фонд финансовой поддержки поселений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 создается в составе расходной части бюджета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 в соответствии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Законом Орловской области.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Дотации из районного фонда финансовой поддержки поселений формируются за счет собственных доходов бюджета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поселений </w:t>
      </w:r>
      <w:r>
        <w:rPr>
          <w:rFonts w:ascii="Times New Roman" w:hAnsi="Times New Roman"/>
          <w:color w:val="000000"/>
          <w:sz w:val="28"/>
          <w:szCs w:val="28"/>
          <w:shd w:fill="auto" w:val="clear"/>
        </w:rPr>
        <w:t xml:space="preserve">Малоархангельского 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>Иные межбюджетные трансферты предусматриваются  на дополнительное финансовое обеспечение расходных обязательств поселений, возникающих при выполнении полномочий, установленных статьей 14 Федерального Закона от 6 октября 2003 года № 131-ФЗ «Об общих принципах организации местного самоуправления в Российской Федерации».</w:t>
      </w:r>
    </w:p>
    <w:p>
      <w:pPr>
        <w:pStyle w:val="Normal"/>
        <w:spacing w:lineRule="auto" w:line="240" w:before="0" w:after="0"/>
        <w:ind w:left="-284" w:firstLine="568"/>
        <w:jc w:val="center"/>
        <w:rPr>
          <w:rFonts w:ascii="Times New Roman" w:hAnsi="Times New Roman"/>
          <w:b/>
          <w:sz w:val="28"/>
          <w:szCs w:val="28"/>
          <w:highlight w:val="none"/>
          <w:shd w:fill="FFFF00" w:val="clear"/>
        </w:rPr>
      </w:pPr>
      <w:r>
        <w:rPr>
          <w:rFonts w:ascii="Times New Roman" w:hAnsi="Times New Roman"/>
          <w:b/>
          <w:sz w:val="28"/>
          <w:szCs w:val="28"/>
          <w:shd w:fill="FFFF00" w:val="clear"/>
        </w:rPr>
      </w:r>
    </w:p>
    <w:p>
      <w:pPr>
        <w:pStyle w:val="Normal"/>
        <w:ind w:left="-284" w:firstLine="568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1.4. Административно-территориальное деление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Малоархангельский муниципальный район состоит из восьми муниципальных образований: 1 городского и 7 сельских поселений.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92929"/>
          <w:spacing w:val="0"/>
          <w:sz w:val="28"/>
          <w:szCs w:val="28"/>
          <w:shd w:fill="auto" w:val="clear"/>
        </w:rPr>
        <w:t>Имеется 91 населенный пункт.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ascii="Times New Roman" w:hAnsi="Times New Roman"/>
          <w:b/>
          <w:sz w:val="26"/>
          <w:szCs w:val="26"/>
          <w:shd w:fill="auto" w:val="clear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292929"/>
          <w:spacing w:val="0"/>
          <w:sz w:val="28"/>
          <w:szCs w:val="28"/>
          <w:shd w:fill="auto" w:val="clear"/>
        </w:rPr>
        <w:t>Малоархангельский район площадью – 754 км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92929"/>
          <w:spacing w:val="0"/>
          <w:sz w:val="24"/>
          <w:szCs w:val="24"/>
          <w:shd w:fill="auto" w:val="clear"/>
          <w:vertAlign w:val="superscript"/>
        </w:rPr>
        <w:t>2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92929"/>
          <w:spacing w:val="0"/>
          <w:position w:val="0"/>
          <w:sz w:val="24"/>
          <w:sz w:val="24"/>
          <w:szCs w:val="24"/>
          <w:shd w:fill="auto" w:val="clear"/>
          <w:vertAlign w:val="baseline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292929"/>
          <w:spacing w:val="0"/>
          <w:sz w:val="28"/>
          <w:szCs w:val="28"/>
          <w:shd w:fill="auto" w:val="clear"/>
        </w:rPr>
        <w:t>расположен в центре Европейской части Российской Федерации, на Средне-Русской возвышенности, в южной части Орловской области и граничит на севере со Свердловским и Покровским, на востоке - с Колпнянским, на западе - с Глазуновским районами Орловской области, на юге - с Курской областью.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Административный центр района – город Малоархангельск, с числом жителей 4,2 тыс.чел.</w:t>
      </w:r>
    </w:p>
    <w:p>
      <w:pPr>
        <w:pStyle w:val="Normal"/>
        <w:spacing w:lineRule="auto" w:line="240" w:before="0" w:after="0"/>
        <w:ind w:left="-284" w:firstLine="568"/>
        <w:jc w:val="both"/>
        <w:rPr>
          <w:rFonts w:ascii="Times New Roman" w:hAnsi="Times New Roman"/>
          <w:b/>
          <w:sz w:val="28"/>
          <w:szCs w:val="28"/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</w:r>
    </w:p>
    <w:p>
      <w:pPr>
        <w:pStyle w:val="Normal"/>
        <w:spacing w:lineRule="auto" w:line="240" w:before="0" w:after="0"/>
        <w:ind w:firstLine="567"/>
        <w:jc w:val="center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>1.5. Основные показатели социально-экономического развития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>Основные показатели социально-экономического развития экономики Малоархангельского района в соответствии прогнозом социально-экономического развития на 2023, 2024 и 2025 годы являются основой для формирования местного бюджета на 2023 год и плановый период 2024 и 2025 годов, и представлены в таблице 1:</w:t>
      </w:r>
    </w:p>
    <w:p>
      <w:pPr>
        <w:pStyle w:val="Normal"/>
        <w:tabs>
          <w:tab w:val="clear" w:pos="708"/>
          <w:tab w:val="left" w:pos="8025" w:leader="none"/>
        </w:tabs>
        <w:spacing w:lineRule="auto" w:line="240" w:before="0" w:after="0"/>
        <w:ind w:left="1571" w:hanging="0"/>
        <w:rPr>
          <w:highlight w:val="none"/>
          <w:shd w:fill="auto" w:val="clear"/>
        </w:rPr>
      </w:pPr>
      <w:r>
        <w:rPr>
          <w:rFonts w:ascii="Times New Roman" w:hAnsi="Times New Roman"/>
          <w:b/>
          <w:sz w:val="28"/>
          <w:szCs w:val="28"/>
          <w:shd w:fill="auto" w:val="clear"/>
        </w:rPr>
        <w:tab/>
        <w:t xml:space="preserve">         </w:t>
      </w:r>
      <w:r>
        <w:rPr>
          <w:rFonts w:ascii="Times New Roman" w:hAnsi="Times New Roman"/>
          <w:shd w:fill="auto" w:val="clear"/>
        </w:rPr>
        <w:t>Таблица 1</w:t>
      </w:r>
    </w:p>
    <w:tbl>
      <w:tblPr>
        <w:tblW w:w="11225" w:type="dxa"/>
        <w:jc w:val="left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12"/>
        <w:gridCol w:w="1363"/>
        <w:gridCol w:w="1312"/>
        <w:gridCol w:w="1300"/>
        <w:gridCol w:w="1350"/>
        <w:gridCol w:w="1375"/>
        <w:gridCol w:w="1412"/>
      </w:tblGrid>
      <w:tr>
        <w:trPr>
          <w:tblHeader w:val="true"/>
          <w:trHeight w:val="587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bidi w:val="0"/>
              <w:spacing w:lineRule="auto" w:line="240" w:before="0" w:after="0"/>
              <w:ind w:left="227" w:right="0" w:hanging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Наименование  показателя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Ед. измер.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2022 отчет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2023 оценка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2024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2025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25"/>
                <w:szCs w:val="25"/>
                <w:shd w:fill="auto" w:val="clear"/>
                <w:lang w:eastAsia="ru-RU"/>
              </w:rPr>
              <w:t>2026</w:t>
            </w:r>
          </w:p>
        </w:tc>
      </w:tr>
      <w:tr>
        <w:trPr>
          <w:trHeight w:val="1174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тыс. руб.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656723,4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644902,4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675212,8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700870,9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726803</w:t>
            </w:r>
          </w:p>
        </w:tc>
      </w:tr>
      <w:tr>
        <w:trPr>
          <w:trHeight w:val="587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Объем валовой продукции сельского хозяйства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млн.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руб.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4680,0598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5157,4259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5740,215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6400,339754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7149,17951</w:t>
            </w:r>
          </w:p>
        </w:tc>
      </w:tr>
      <w:tr>
        <w:trPr>
          <w:trHeight w:val="430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Оборот розничной торговли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тыс.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руб.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856019,7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874852,1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955338,5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1031765,6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1115338,6</w:t>
            </w:r>
          </w:p>
        </w:tc>
      </w:tr>
      <w:tr>
        <w:trPr>
          <w:trHeight w:val="253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Фонд оплаты труда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тыс. руб.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754654,5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842193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912937,6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981407,6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1055013,4</w:t>
            </w:r>
          </w:p>
        </w:tc>
      </w:tr>
      <w:tr>
        <w:trPr>
          <w:trHeight w:val="602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Численность работающих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чел.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1915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1905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1900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1897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1893</w:t>
            </w:r>
          </w:p>
        </w:tc>
      </w:tr>
      <w:tr>
        <w:trPr>
          <w:trHeight w:val="602" w:hRule="atLeast"/>
        </w:trPr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Среднемесячная заработная плата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руб.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32839,62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36841,34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40041,12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43112,26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Cs/>
                <w:sz w:val="25"/>
                <w:szCs w:val="25"/>
                <w:shd w:fill="auto" w:val="clear"/>
                <w:lang w:eastAsia="ru-RU"/>
              </w:rPr>
              <w:t>46443,63</w:t>
            </w:r>
          </w:p>
        </w:tc>
      </w:tr>
    </w:tbl>
    <w:p>
      <w:pPr>
        <w:pStyle w:val="Normal"/>
        <w:spacing w:lineRule="auto" w:line="240" w:before="0" w:after="0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540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– 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Численность постоянного населения </w:t>
      </w:r>
      <w:r>
        <w:rPr>
          <w:rFonts w:ascii="Times New Roman" w:hAnsi="Times New Roman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района представлены в таблице 2:</w:t>
      </w:r>
      <w:r>
        <w:rPr>
          <w:rFonts w:ascii="Times New Roman" w:hAnsi="Times New Roman"/>
          <w:shd w:fill="auto" w:val="clear"/>
        </w:rPr>
        <w:t xml:space="preserve">  </w:t>
      </w:r>
    </w:p>
    <w:p>
      <w:pPr>
        <w:pStyle w:val="Normal"/>
        <w:spacing w:lineRule="auto" w:line="240" w:before="0" w:after="0"/>
        <w:ind w:left="708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>Таблица 2</w:t>
      </w:r>
    </w:p>
    <w:tbl>
      <w:tblPr>
        <w:tblW w:w="10600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736"/>
        <w:gridCol w:w="1033"/>
        <w:gridCol w:w="1183"/>
        <w:gridCol w:w="1179"/>
        <w:gridCol w:w="1332"/>
        <w:gridCol w:w="1362"/>
        <w:gridCol w:w="1363"/>
        <w:gridCol w:w="1412"/>
      </w:tblGrid>
      <w:tr>
        <w:trPr>
          <w:trHeight w:val="531" w:hRule="atLeast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Наименование  показателя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Ед. измер.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2021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</w:t>
            </w: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</w:t>
            </w: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</w:t>
            </w: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</w:t>
            </w: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23"/>
                <w:szCs w:val="23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202</w:t>
            </w:r>
            <w:r>
              <w:rPr>
                <w:rFonts w:eastAsia="Times New Roman" w:ascii="Times New Roman" w:hAnsi="Times New Roman"/>
                <w:b/>
                <w:bCs/>
                <w:sz w:val="23"/>
                <w:szCs w:val="23"/>
                <w:lang w:eastAsia="ru-RU"/>
              </w:rPr>
              <w:t>6</w:t>
            </w:r>
          </w:p>
        </w:tc>
      </w:tr>
      <w:tr>
        <w:trPr>
          <w:trHeight w:val="1233" w:hRule="atLeast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Численность постоянного населения на 1 января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3"/>
                <w:szCs w:val="23"/>
              </w:rPr>
              <w:t>тыс. чел.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9330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9463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9340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9230</w:t>
            </w: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9121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9022</w:t>
            </w:r>
          </w:p>
        </w:tc>
      </w:tr>
    </w:tbl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-284" w:firstLine="568"/>
        <w:jc w:val="center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1.6. Организация и проведение публичных слушаний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ab/>
        <w:t xml:space="preserve">В соответствии со статьей 28 Федерального закона от 6 октября 2003 года № 131-ФЗ «Об общих принципах организации местного самоуправления в Российской Федерации», Уставом 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>Малоархангельского района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, 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 xml:space="preserve">Положением «О публичных слушаниях», утвержденным решением Малоархангельского районного Совета народных депутатов № 22/159-РС от </w:t>
      </w:r>
      <w:r>
        <w:rPr>
          <w:rFonts w:eastAsia="NSimSun" w:cs="Times New Roman" w:ascii="Times New Roman" w:hAnsi="Times New Roman"/>
          <w:color w:val="000000"/>
          <w:kern w:val="2"/>
          <w:sz w:val="28"/>
          <w:szCs w:val="28"/>
          <w:shd w:fill="auto" w:val="clear"/>
          <w:lang w:val="ru-RU" w:eastAsia="zh-CN" w:bidi="hi-IN"/>
        </w:rPr>
        <w:t>28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 xml:space="preserve"> </w:t>
      </w:r>
      <w:r>
        <w:rPr>
          <w:rFonts w:eastAsia="NSimSun" w:cs="Times New Roman" w:ascii="Times New Roman" w:hAnsi="Times New Roman"/>
          <w:color w:val="000000"/>
          <w:kern w:val="2"/>
          <w:sz w:val="28"/>
          <w:szCs w:val="28"/>
          <w:shd w:fill="auto" w:val="clear"/>
          <w:lang w:val="ru-RU" w:eastAsia="zh-CN" w:bidi="hi-IN"/>
        </w:rPr>
        <w:t>июн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>я 20</w:t>
      </w:r>
      <w:r>
        <w:rPr>
          <w:rFonts w:eastAsia="NSimSun" w:cs="Times New Roman" w:ascii="Times New Roman" w:hAnsi="Times New Roman"/>
          <w:color w:val="000000"/>
          <w:kern w:val="2"/>
          <w:sz w:val="28"/>
          <w:szCs w:val="28"/>
          <w:shd w:fill="auto" w:val="clear"/>
          <w:lang w:val="ru-RU" w:eastAsia="zh-CN" w:bidi="hi-IN"/>
        </w:rPr>
        <w:t>18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 xml:space="preserve"> года (с последующими изменениями и дополнениями)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, проект бюджета </w:t>
      </w:r>
      <w:r>
        <w:rPr>
          <w:rFonts w:cs="Times New Roman" w:ascii="Times New Roman" w:hAnsi="Times New Roman"/>
          <w:sz w:val="28"/>
          <w:szCs w:val="28"/>
          <w:shd w:fill="auto" w:val="clear"/>
        </w:rPr>
        <w:t>Малоархангельского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   района должен выноситься на </w:t>
      </w:r>
      <w:r>
        <w:rPr>
          <w:rFonts w:ascii="Times New Roman" w:hAnsi="Times New Roman"/>
          <w:b/>
          <w:sz w:val="28"/>
          <w:szCs w:val="28"/>
          <w:shd w:fill="auto" w:val="clear"/>
        </w:rPr>
        <w:t xml:space="preserve">публичные слушания, </w:t>
      </w:r>
      <w:r>
        <w:rPr>
          <w:rFonts w:ascii="Times New Roman" w:hAnsi="Times New Roman"/>
          <w:sz w:val="28"/>
          <w:szCs w:val="28"/>
          <w:shd w:fill="auto" w:val="clear"/>
        </w:rPr>
        <w:t xml:space="preserve">что является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одной из форм непосредственного осуществления жителями </w:t>
      </w:r>
      <w:r>
        <w:rPr>
          <w:rFonts w:eastAsia="Times New Roman" w:cs="Times New Roman" w:ascii="Times New Roman" w:hAnsi="Times New Roman"/>
          <w:sz w:val="28"/>
          <w:szCs w:val="28"/>
          <w:shd w:fill="auto" w:val="clear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района местного самоуправления.</w:t>
      </w:r>
    </w:p>
    <w:p>
      <w:pPr>
        <w:pStyle w:val="Normal"/>
        <w:spacing w:lineRule="auto" w:line="240" w:before="0" w:after="0"/>
        <w:ind w:left="-284" w:firstLine="568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  <w:t xml:space="preserve">Проект районного бюджета на 2023 год и на плановый период 2024 и 2025 годов был рассмотрен на публичных слушаниях в ноябре 2022 года. </w:t>
      </w:r>
    </w:p>
    <w:p>
      <w:pPr>
        <w:pStyle w:val="Normal"/>
        <w:spacing w:before="0" w:after="0"/>
        <w:ind w:firstLine="720"/>
        <w:jc w:val="both"/>
        <w:rPr>
          <w:rFonts w:ascii="Times New Roman" w:hAnsi="Times New Roman"/>
          <w:sz w:val="28"/>
          <w:szCs w:val="28"/>
          <w:highlight w:val="none"/>
          <w:shd w:fill="auto" w:val="clear"/>
        </w:rPr>
      </w:pPr>
      <w:r>
        <w:rPr>
          <w:rFonts w:ascii="Times New Roman" w:hAnsi="Times New Roman"/>
          <w:sz w:val="28"/>
          <w:szCs w:val="28"/>
          <w:shd w:fill="auto" w:val="clear"/>
        </w:rPr>
      </w:r>
    </w:p>
    <w:p>
      <w:pPr>
        <w:pStyle w:val="ListParagraph"/>
        <w:spacing w:lineRule="auto" w:line="240" w:before="0" w:after="0"/>
        <w:ind w:left="0" w:firstLine="567"/>
        <w:contextualSpacing/>
        <w:jc w:val="center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2. ОБЩИЕ ХАРАКТЕРИСТИКИ БЮДЖЕТА</w:t>
      </w:r>
    </w:p>
    <w:p>
      <w:pPr>
        <w:pStyle w:val="ListParagraph"/>
        <w:spacing w:lineRule="auto" w:line="240" w:before="0" w:after="0"/>
        <w:ind w:left="0" w:firstLine="567"/>
        <w:contextualSpacing/>
        <w:jc w:val="center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2.1. Основные показатели бюджета</w:t>
      </w:r>
    </w:p>
    <w:p>
      <w:pPr>
        <w:pStyle w:val="ListParagraph"/>
        <w:spacing w:lineRule="auto" w:line="240" w:before="0" w:after="0"/>
        <w:ind w:left="0" w:firstLine="567"/>
        <w:contextualSpacing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4"/>
          <w:shd w:fill="auto" w:val="clear"/>
          <w:lang w:eastAsia="ru-RU"/>
        </w:rPr>
        <w:t xml:space="preserve">Бюджет </w:t>
      </w:r>
      <w:r>
        <w:rPr>
          <w:rFonts w:eastAsia="Times New Roman" w:cs="Times New Roman" w:ascii="Times New Roman" w:hAnsi="Times New Roman"/>
          <w:sz w:val="28"/>
          <w:szCs w:val="28"/>
          <w:shd w:fill="auto" w:val="clear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  района</w:t>
      </w:r>
      <w:r>
        <w:rPr>
          <w:rFonts w:eastAsia="Times New Roman" w:ascii="Times New Roman" w:hAnsi="Times New Roman"/>
          <w:sz w:val="28"/>
          <w:szCs w:val="24"/>
          <w:shd w:fill="auto" w:val="clear"/>
          <w:lang w:eastAsia="ru-RU"/>
        </w:rPr>
        <w:t xml:space="preserve"> на 2023 год и на плановый период 2024 и 2025 годов подготовлен в соответствии с требованиями Бюджетного кодекса Российской Федерации, с учетом особенностей формирования консолидированного бюджета области на 2023 год и на плановый период 2024 и 2025 годов, рекомендованных к исполнению Департамента финансов Орловской области области.</w:t>
      </w:r>
    </w:p>
    <w:p>
      <w:pPr>
        <w:pStyle w:val="Normal"/>
        <w:tabs>
          <w:tab w:val="clear" w:pos="708"/>
          <w:tab w:val="left" w:pos="709" w:leader="none"/>
          <w:tab w:val="left" w:pos="851" w:leader="none"/>
          <w:tab w:val="left" w:pos="1080" w:leader="none"/>
        </w:tabs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4"/>
          <w:shd w:fill="auto" w:val="clear"/>
          <w:lang w:eastAsia="ru-RU"/>
        </w:rPr>
        <w:t>На 2023 год утверждены 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сновные показатели бюджета </w:t>
      </w:r>
      <w:r>
        <w:rPr>
          <w:rFonts w:eastAsia="Times New Roman" w:cs="Times New Roman" w:ascii="Times New Roman" w:hAnsi="Times New Roman"/>
          <w:sz w:val="28"/>
          <w:szCs w:val="28"/>
          <w:shd w:fill="auto" w:val="clear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  района: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доходов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290 798,9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расходов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295 963,3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дефицит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5 164,4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рублей.</w:t>
      </w:r>
    </w:p>
    <w:p>
      <w:pPr>
        <w:pStyle w:val="Normal"/>
        <w:tabs>
          <w:tab w:val="clear" w:pos="708"/>
          <w:tab w:val="left" w:pos="709" w:leader="none"/>
          <w:tab w:val="left" w:pos="851" w:leader="none"/>
          <w:tab w:val="left" w:pos="1080" w:leader="none"/>
        </w:tabs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4"/>
          <w:shd w:fill="auto" w:val="clear"/>
          <w:lang w:eastAsia="ru-RU"/>
        </w:rPr>
        <w:t>На 2024 год утверждены 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сновные показатели бюджета </w:t>
      </w:r>
      <w:r>
        <w:rPr>
          <w:rFonts w:eastAsia="Times New Roman" w:cs="Times New Roman" w:ascii="Times New Roman" w:hAnsi="Times New Roman"/>
          <w:sz w:val="28"/>
          <w:szCs w:val="28"/>
          <w:shd w:fill="auto" w:val="clear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  района :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доходов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249 521,8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расходов в сумме </w:t>
      </w:r>
      <w:r>
        <w:rPr>
          <w:rFonts w:eastAsia="Times New Roman" w:ascii="Times New Roman" w:hAnsi="Times New Roman"/>
          <w:b/>
          <w:bCs/>
          <w:sz w:val="28"/>
          <w:szCs w:val="28"/>
          <w:shd w:fill="auto" w:val="clear"/>
          <w:lang w:eastAsia="ru-RU"/>
        </w:rPr>
        <w:t>253 670,8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тыс. рублей, в том числе условно утвержденные расходы в сумме </w:t>
      </w:r>
      <w:r>
        <w:rPr>
          <w:rFonts w:eastAsia="Times New Roman" w:ascii="Times New Roman" w:hAnsi="Times New Roman"/>
          <w:b/>
          <w:bCs/>
          <w:sz w:val="28"/>
          <w:szCs w:val="28"/>
          <w:shd w:fill="auto" w:val="clear"/>
          <w:lang w:eastAsia="ru-RU"/>
        </w:rPr>
        <w:t>3 041,7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дефицит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4 149,0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рублей.</w:t>
      </w:r>
    </w:p>
    <w:p>
      <w:pPr>
        <w:pStyle w:val="Normal"/>
        <w:tabs>
          <w:tab w:val="clear" w:pos="708"/>
          <w:tab w:val="left" w:pos="709" w:leader="none"/>
          <w:tab w:val="left" w:pos="851" w:leader="none"/>
          <w:tab w:val="left" w:pos="1080" w:leader="none"/>
        </w:tabs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4"/>
          <w:shd w:fill="auto" w:val="clear"/>
          <w:lang w:eastAsia="ru-RU"/>
        </w:rPr>
        <w:t>На 2025 год утверждены 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сновные показатели бюджета </w:t>
      </w:r>
      <w:r>
        <w:rPr>
          <w:rFonts w:eastAsia="Times New Roman" w:cs="Times New Roman" w:ascii="Times New Roman" w:hAnsi="Times New Roman"/>
          <w:sz w:val="28"/>
          <w:szCs w:val="28"/>
          <w:shd w:fill="auto" w:val="clear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  района: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доходов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249 144,2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общий объем расходов в сумме </w:t>
      </w:r>
      <w:r>
        <w:rPr>
          <w:rFonts w:eastAsia="Times New Roman" w:ascii="Times New Roman" w:hAnsi="Times New Roman"/>
          <w:b/>
          <w:bCs/>
          <w:sz w:val="28"/>
          <w:szCs w:val="28"/>
          <w:shd w:fill="auto" w:val="clear"/>
          <w:lang w:eastAsia="ru-RU"/>
        </w:rPr>
        <w:t>253 376,1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тыс. рублей, в том числе условно утвержденные расходы в сумме </w:t>
      </w:r>
      <w:r>
        <w:rPr>
          <w:rFonts w:eastAsia="Times New Roman" w:ascii="Times New Roman" w:hAnsi="Times New Roman"/>
          <w:b/>
          <w:bCs/>
          <w:sz w:val="28"/>
          <w:szCs w:val="28"/>
          <w:shd w:fill="auto" w:val="clear"/>
          <w:lang w:eastAsia="ru-RU"/>
        </w:rPr>
        <w:t>5 884,3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highlight w:val="none"/>
          <w:shd w:fill="auto" w:val="clear"/>
        </w:rPr>
      </w:pP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дефицит в сумме </w:t>
      </w:r>
      <w:r>
        <w:rPr>
          <w:rFonts w:eastAsia="Times New Roman" w:ascii="Times New Roman" w:hAnsi="Times New Roman"/>
          <w:b/>
          <w:sz w:val="28"/>
          <w:szCs w:val="28"/>
          <w:shd w:fill="auto" w:val="clear"/>
          <w:lang w:eastAsia="ru-RU"/>
        </w:rPr>
        <w:t>4 231,9</w:t>
      </w:r>
      <w:r>
        <w:rPr>
          <w:rFonts w:eastAsia="Times New Roman" w:ascii="Times New Roman" w:hAnsi="Times New Roman"/>
          <w:sz w:val="28"/>
          <w:szCs w:val="28"/>
          <w:shd w:fill="auto" w:val="clear"/>
          <w:lang w:eastAsia="ru-RU"/>
        </w:rPr>
        <w:t xml:space="preserve"> тыс. рублей.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2.2. Основные приоритеты бюджетной политики</w:t>
      </w:r>
    </w:p>
    <w:p>
      <w:pPr>
        <w:pStyle w:val="Normal"/>
        <w:spacing w:lineRule="auto" w:line="240" w:before="0" w:after="0"/>
        <w:ind w:left="-284"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При разработке основных направлений бюджетной политики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 района на 2023 год и на плановый период 2024 и 2025 годов (далее - бюджетная политика) учтена государственная политика Российской Федерации и Орловской области в вопросах развития отраслей экономической и социальной сфер.</w:t>
      </w:r>
    </w:p>
    <w:p>
      <w:pPr>
        <w:pStyle w:val="Normal"/>
        <w:spacing w:lineRule="auto" w:line="240" w:before="0" w:after="0"/>
        <w:ind w:left="-284"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Основными приоритетами бюджетной политики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 района на 2023 год является обеспечение сбалансированности и устойчивости бюджета в условиях ограниченности финансовых ресурсов, так же как и в 2022 году – сохранение социальной направленности бюджета, предоставление качественных муниципальных услуг в сфере образования, культуры и спорта, исполнение расходных обязательств, повышение эффективности бюджетных расходов.</w:t>
      </w:r>
    </w:p>
    <w:p>
      <w:pPr>
        <w:pStyle w:val="Normal"/>
        <w:spacing w:lineRule="auto" w:line="240" w:before="0" w:after="0"/>
        <w:ind w:lef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обязательств, связанных с выполнением вопросов местного значения определенных Федеральным законом от 6 октября 2003 года № 131-ФЗ «Об общих принципах организации местного самоуправления в Российской Федерации», исходя из финансовой возможности районного бюджета.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Налоговая политика </w:t>
      </w:r>
      <w:r>
        <w:rPr>
          <w:rFonts w:cs="Times New Roman" w:ascii="Times New Roman" w:hAnsi="Times New Roman"/>
          <w:sz w:val="28"/>
          <w:szCs w:val="28"/>
        </w:rPr>
        <w:t>Малоархангельского</w:t>
      </w:r>
      <w:r>
        <w:rPr>
          <w:rFonts w:ascii="Times New Roman" w:hAnsi="Times New Roman"/>
          <w:sz w:val="28"/>
          <w:szCs w:val="28"/>
        </w:rPr>
        <w:t xml:space="preserve">   района в 2023 году будет направлена на мобилизацию налоговых и неналоговых доходов бюджета района, на усиление администрирования налоговых и неналоговых платежей в бюджет.</w:t>
      </w:r>
    </w:p>
    <w:p>
      <w:pPr>
        <w:pStyle w:val="Normal"/>
        <w:widowControl w:val="false"/>
        <w:spacing w:lineRule="auto" w:line="240" w:before="0" w:after="0"/>
        <w:ind w:left="-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проводиться дальнейшая работа, направленная на усиление контроля за исполнением плательщиками обязательств по уплате налогов и неналоговых платежей, в особенности по бюджетообразующим доходам. Будет продолжена практика работы по контролю за администрированием доходов, усилению дисциплины платежей в бюджет по администраторам доходов.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Реализуемая бюджетная политика  будет решать следующие задачи: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устанавливать новые расходные обязательства только в пределах имеющихся для их реализации финансовых ресурсов;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использования. Расходование  бюджетных средств  главными  распорядителями  должно сопровождаться содержательным  анализом достигнутых результатов;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переход к режиму жесткой экономии бюджетных средств, предполагающему достижение максимально возможного эффекта от каждого бюджетного рубля;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усиление финансового контроля со стороны главных распорядителей бюджетных средств и финансового органа;</w:t>
      </w:r>
    </w:p>
    <w:p>
      <w:pPr>
        <w:pStyle w:val="Normal"/>
        <w:widowControl w:val="false"/>
        <w:spacing w:lineRule="auto" w:line="240" w:before="0" w:after="0"/>
        <w:ind w:left="-28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 </w:t>
      </w:r>
      <w:r>
        <w:rPr>
          <w:rFonts w:ascii="Times New Roman" w:hAnsi="Times New Roman"/>
          <w:sz w:val="28"/>
          <w:szCs w:val="28"/>
        </w:rPr>
        <w:t>работа главных распорядителей бюджетных средств по привлечению дополнительных средств вышестоящих бюджетов.</w:t>
      </w:r>
    </w:p>
    <w:p>
      <w:pPr>
        <w:pStyle w:val="Normal"/>
        <w:spacing w:lineRule="auto" w:line="240" w:before="0" w:after="0"/>
        <w:ind w:left="-284" w:firstLine="709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-284" w:firstLine="567"/>
        <w:jc w:val="center"/>
        <w:rPr>
          <w:color w:val="000000"/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color w:val="000000"/>
          <w:sz w:val="28"/>
          <w:szCs w:val="28"/>
          <w:shd w:fill="auto" w:val="clear"/>
          <w:lang w:eastAsia="ru-RU"/>
        </w:rPr>
        <w:t>3. ДОХОДЫ БЮДЖЕТА</w:t>
      </w:r>
    </w:p>
    <w:p>
      <w:pPr>
        <w:pStyle w:val="Normal"/>
        <w:spacing w:lineRule="auto" w:line="240" w:before="0" w:after="0"/>
        <w:ind w:left="-284" w:firstLine="567"/>
        <w:jc w:val="center"/>
        <w:rPr>
          <w:color w:val="000000"/>
          <w:highlight w:val="none"/>
          <w:shd w:fill="auto" w:val="clear"/>
        </w:rPr>
      </w:pPr>
      <w:r>
        <w:rPr>
          <w:rFonts w:eastAsia="Times New Roman" w:ascii="Times New Roman" w:hAnsi="Times New Roman"/>
          <w:b/>
          <w:color w:val="000000"/>
          <w:sz w:val="28"/>
          <w:szCs w:val="28"/>
          <w:shd w:fill="auto" w:val="clear"/>
          <w:lang w:eastAsia="ru-RU"/>
        </w:rPr>
        <w:t>3.1. Планируемые поступления в бюджет на 2023 год в сравнении с 2022 годом</w:t>
      </w:r>
    </w:p>
    <w:p>
      <w:pPr>
        <w:pStyle w:val="Normal"/>
        <w:tabs>
          <w:tab w:val="clear" w:pos="708"/>
          <w:tab w:val="left" w:pos="4536" w:leader="none"/>
        </w:tabs>
        <w:spacing w:lineRule="auto" w:line="240" w:before="0" w:after="0"/>
        <w:ind w:left="-284" w:firstLine="567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Доходы бюджета Малоархангельского   района  на 2023 год запланированы в сумме </w:t>
      </w:r>
      <w:r>
        <w:rPr>
          <w:rFonts w:eastAsia="Times New Roman" w:cs="Times New Roman" w:ascii="Times New Roman" w:hAnsi="Times New Roman"/>
          <w:b/>
          <w:bCs/>
          <w:color w:val="000000"/>
          <w:spacing w:val="2"/>
          <w:sz w:val="28"/>
          <w:szCs w:val="28"/>
          <w:shd w:fill="auto" w:val="clear"/>
          <w:lang w:eastAsia="ru-RU"/>
        </w:rPr>
        <w:t>290 798,9</w:t>
      </w:r>
      <w:r>
        <w:rPr>
          <w:rFonts w:eastAsia="Times New Roman" w:cs="Times New Roman" w:ascii="Times New Roman" w:hAnsi="Times New Roman"/>
          <w:b/>
          <w:color w:val="000000"/>
          <w:spacing w:val="2"/>
          <w:sz w:val="28"/>
          <w:szCs w:val="28"/>
          <w:shd w:fill="auto" w:val="clear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тыс. рублей, что на </w:t>
      </w:r>
      <w:r>
        <w:rPr>
          <w:rFonts w:eastAsia="Times New Roman" w:cs="Times New Roman" w:ascii="Times New Roman" w:hAnsi="Times New Roman"/>
          <w:b/>
          <w:bCs/>
          <w:color w:val="000000"/>
          <w:spacing w:val="2"/>
          <w:sz w:val="28"/>
          <w:szCs w:val="28"/>
          <w:shd w:fill="auto" w:val="clear"/>
          <w:lang w:eastAsia="ru-RU"/>
        </w:rPr>
        <w:t>33 423,9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 тыс. рублей больше первоначального плана 2022 года и на </w:t>
      </w:r>
      <w:r>
        <w:rPr>
          <w:rFonts w:eastAsia="Times New Roman" w:cs="Times New Roman" w:ascii="Times New Roman" w:hAnsi="Times New Roman"/>
          <w:b/>
          <w:bCs/>
          <w:color w:val="000000"/>
          <w:spacing w:val="2"/>
          <w:sz w:val="28"/>
          <w:szCs w:val="28"/>
          <w:shd w:fill="auto" w:val="clear"/>
          <w:lang w:eastAsia="ru-RU"/>
        </w:rPr>
        <w:t>85 613,8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 тыс. рублей больше первоначального плана 2021 года. На плановый период 2024 и 2025 годов доходы бюджета прогнозируются в сумме </w:t>
      </w:r>
      <w:r>
        <w:rPr>
          <w:rFonts w:eastAsia="Times New Roman" w:cs="Times New Roman" w:ascii="Times New Roman" w:hAnsi="Times New Roman"/>
          <w:b/>
          <w:color w:val="000000"/>
          <w:spacing w:val="2"/>
          <w:sz w:val="28"/>
          <w:szCs w:val="28"/>
          <w:shd w:fill="auto" w:val="clear"/>
          <w:lang w:eastAsia="ru-RU"/>
        </w:rPr>
        <w:t>249 521,8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 тыс. рублей и </w:t>
      </w:r>
      <w:r>
        <w:rPr>
          <w:rFonts w:eastAsia="Times New Roman" w:cs="Times New Roman" w:ascii="Times New Roman" w:hAnsi="Times New Roman"/>
          <w:b/>
          <w:color w:val="000000"/>
          <w:spacing w:val="2"/>
          <w:sz w:val="28"/>
          <w:szCs w:val="28"/>
          <w:shd w:fill="auto" w:val="clear"/>
          <w:lang w:eastAsia="ru-RU"/>
        </w:rPr>
        <w:t>249 144,2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 тыс. рублей.</w:t>
      </w:r>
    </w:p>
    <w:p>
      <w:pPr>
        <w:pStyle w:val="Normal"/>
        <w:tabs>
          <w:tab w:val="clear" w:pos="708"/>
          <w:tab w:val="left" w:pos="4536" w:leader="none"/>
        </w:tabs>
        <w:spacing w:lineRule="auto" w:line="240" w:before="0" w:after="0"/>
        <w:ind w:left="-284" w:firstLine="709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Планирование доходной части бюджета Малоархангельского   района на 2023 год и на плановый период до 2024-2025 годов осуществлялось на основании </w:t>
      </w:r>
      <w:r>
        <w:rPr>
          <w:rFonts w:eastAsia="Calibri" w:cs="Times New Roman" w:ascii="Times New Roman" w:hAnsi="Times New Roman"/>
          <w:color w:val="000000"/>
          <w:sz w:val="28"/>
          <w:szCs w:val="28"/>
          <w:shd w:fill="auto" w:val="clear"/>
        </w:rPr>
        <w:t>прогнозных данных, представленных администраторами доходов – органами государственной власти, территориальными подразделениями органов государственной власти Российской Федерации, а также главными администраторами доходов районного бюджета, в соответствии с прогнозом основных показателей социально-экономического развития Малоархангельского   района на 2023 год</w:t>
      </w: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  <w:shd w:fill="auto" w:val="clear"/>
          <w:lang w:eastAsia="ru-RU"/>
        </w:rPr>
        <w:t xml:space="preserve">, основных направлений налоговой и бюджетной политики на 2023 год и оценки показателей первоначального плана за 2021 - 2022 годы. Расчет налогового потенциала по налоговым доходам на 2023 год производился исходя из показателей налоговой базы по данным статистической налоговой отчетности за 2021 год. </w:t>
      </w:r>
    </w:p>
    <w:p>
      <w:pPr>
        <w:pStyle w:val="Normal"/>
        <w:spacing w:lineRule="auto" w:line="240" w:before="0" w:after="0"/>
        <w:ind w:firstLine="567"/>
        <w:jc w:val="both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shd w:fill="auto" w:val="clear"/>
          <w:lang w:eastAsia="ru-RU"/>
        </w:rPr>
        <w:t>Объем налоговых и неналоговых доходов районного бюджета на 2023 год и на плановый период 2024 и 2025 годов представлен в таблице 3:</w:t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F6F9D4" w:val="clear"/>
        </w:rPr>
      </w:pPr>
      <w:r>
        <w:rPr>
          <w:color w:val="000000"/>
          <w:shd w:fill="F6F9D4" w:val="clear"/>
        </w:rPr>
      </w:r>
    </w:p>
    <w:p>
      <w:pPr>
        <w:pStyle w:val="Normal"/>
        <w:spacing w:lineRule="auto" w:line="240" w:before="0" w:after="0"/>
        <w:ind w:firstLine="709"/>
        <w:jc w:val="right"/>
        <w:rPr>
          <w:color w:val="000000"/>
          <w:highlight w:val="none"/>
          <w:shd w:fill="auto" w:val="clear"/>
        </w:rPr>
      </w:pPr>
      <w:r>
        <w:rPr>
          <w:rFonts w:eastAsia="Times New Roman" w:cs="Times New Roman" w:ascii="Times New Roman" w:hAnsi="Times New Roman"/>
          <w:color w:val="000000"/>
          <w:shd w:fill="auto" w:val="clear"/>
          <w:lang w:eastAsia="ru-RU"/>
        </w:rPr>
        <w:t>Таблица 3, тыс. рублей</w:t>
      </w:r>
    </w:p>
    <w:p>
      <w:pPr>
        <w:pStyle w:val="Normal"/>
        <w:spacing w:lineRule="auto" w:line="240" w:before="0" w:after="0"/>
        <w:ind w:firstLine="709"/>
        <w:jc w:val="right"/>
        <w:rPr>
          <w:rFonts w:ascii="Times New Roman" w:hAnsi="Times New Roman" w:eastAsia="Times New Roman" w:cs="Times New Roman"/>
          <w:color w:val="000000"/>
          <w:highlight w:val="none"/>
          <w:shd w:fill="F6F9D4" w:val="clear"/>
          <w:lang w:eastAsia="ru-RU"/>
        </w:rPr>
      </w:pPr>
      <w:r>
        <w:rPr>
          <w:rFonts w:eastAsia="Times New Roman" w:cs="Times New Roman" w:ascii="Times New Roman" w:hAnsi="Times New Roman"/>
          <w:color w:val="000000"/>
          <w:shd w:fill="F6F9D4" w:val="clear"/>
          <w:lang w:eastAsia="ru-RU"/>
        </w:rPr>
      </w:r>
      <w:bookmarkStart w:id="0" w:name="_MON_1701074165"/>
      <w:bookmarkStart w:id="1" w:name="_MON_1638619358"/>
      <w:bookmarkStart w:id="2" w:name="_MON_1701070727"/>
      <w:bookmarkStart w:id="3" w:name="_MON_1701070922"/>
      <w:bookmarkStart w:id="4" w:name="_MON_1701071367"/>
      <w:bookmarkStart w:id="5" w:name="_MON_1701073005"/>
      <w:bookmarkStart w:id="6" w:name="_MON_1701074165"/>
      <w:bookmarkStart w:id="7" w:name="_MON_1638619358"/>
      <w:bookmarkStart w:id="8" w:name="_MON_1701070727"/>
      <w:bookmarkStart w:id="9" w:name="_MON_1701070922"/>
      <w:bookmarkStart w:id="10" w:name="_MON_1701071367"/>
      <w:bookmarkStart w:id="11" w:name="_MON_1701073005"/>
      <w:bookmarkEnd w:id="6"/>
      <w:bookmarkEnd w:id="7"/>
      <w:bookmarkEnd w:id="8"/>
      <w:bookmarkEnd w:id="9"/>
      <w:bookmarkEnd w:id="10"/>
      <w:bookmarkEnd w:id="11"/>
    </w:p>
    <w:p>
      <w:pPr>
        <w:pStyle w:val="Normal"/>
        <w:spacing w:lineRule="auto" w:line="240" w:before="0" w:after="0"/>
        <w:jc w:val="center"/>
        <w:rPr/>
      </w:pPr>
      <w:bookmarkStart w:id="12" w:name="_MON_1701074165_Копия_1"/>
      <w:bookmarkStart w:id="13" w:name="_MON_1638619358_Копия_1"/>
      <w:bookmarkStart w:id="14" w:name="_MON_1701070727_Копия_1"/>
      <w:bookmarkStart w:id="15" w:name="_MON_1701070922_Копия_1"/>
      <w:bookmarkStart w:id="16" w:name="_MON_1701071367_Копия_1"/>
      <w:bookmarkStart w:id="17" w:name="_MON_1701073005_Копия_1"/>
      <w:bookmarkEnd w:id="12"/>
      <w:bookmarkEnd w:id="13"/>
      <w:bookmarkEnd w:id="14"/>
      <w:bookmarkEnd w:id="15"/>
      <w:bookmarkEnd w:id="16"/>
      <w:bookmarkEnd w:id="17"/>
      <w:r>
        <w:rPr/>
        <w:object w:dxaOrig="8960" w:dyaOrig="11521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527.65pt;height:504.9pt;mso-wrap-distance-right:0pt" filled="f" o:ole="">
            <v:imagedata r:id="rId7" o:title=""/>
          </v:shape>
          <o:OLEObject Type="Embed" ProgID="Excel.Sheet.12" ShapeID="ole_rId6" DrawAspect="Content" ObjectID="_836128779" r:id="rId6"/>
        </w:object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3.2. Объем и структура налоговых и неналоговых доходов в динамике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pacing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Налоговые и неналоговые доходы на 2023 год запланированы в сумме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98 865,1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тыс. рублей, в том числе 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налоговые доходы – </w:t>
      </w:r>
      <w:r>
        <w:rPr>
          <w:rFonts w:eastAsia="Times New Roman" w:cs="Times New Roman" w:ascii="Times New Roman" w:hAnsi="Times New Roman"/>
          <w:b/>
          <w:spacing w:val="2"/>
          <w:sz w:val="28"/>
          <w:szCs w:val="28"/>
          <w:lang w:eastAsia="ru-RU"/>
        </w:rPr>
        <w:t xml:space="preserve">86 882,1 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тыс. рублей, неналоговые доходы – </w:t>
      </w:r>
      <w:r>
        <w:rPr>
          <w:rFonts w:eastAsia="Times New Roman" w:cs="Times New Roman" w:ascii="Times New Roman" w:hAnsi="Times New Roman"/>
          <w:b/>
          <w:spacing w:val="2"/>
          <w:sz w:val="28"/>
          <w:szCs w:val="28"/>
          <w:lang w:eastAsia="ru-RU"/>
        </w:rPr>
        <w:t>11 938,0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тыс. рублей. Удельный вес налоговых и неналоговых доходов в общей прогнозируемой доходной части районного бюджета на 2023 год составит </w:t>
      </w:r>
      <w:r>
        <w:rPr>
          <w:rFonts w:eastAsia="Times New Roman" w:cs="Times New Roman" w:ascii="Times New Roman" w:hAnsi="Times New Roman"/>
          <w:b/>
          <w:bCs/>
          <w:spacing w:val="2"/>
          <w:sz w:val="28"/>
          <w:szCs w:val="28"/>
          <w:lang w:eastAsia="ru-RU"/>
        </w:rPr>
        <w:t>34%.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По сравнению с показателями первоначального плана 2022 года уменьшение прогнозных показателей налоговых и неналоговых доходов районного бюджета в 2023 году составит </w:t>
      </w:r>
      <w:r>
        <w:rPr>
          <w:rFonts w:eastAsia="Times New Roman" w:cs="Times New Roman" w:ascii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3 277,9</w:t>
      </w:r>
      <w:r>
        <w:rPr>
          <w:rFonts w:eastAsia="Times New Roman" w:cs="Times New Roman" w:ascii="Times New Roman" w:hAnsi="Times New Roman"/>
          <w:spacing w:val="2"/>
          <w:sz w:val="28"/>
          <w:szCs w:val="28"/>
          <w:lang w:eastAsia="ru-RU"/>
        </w:rPr>
        <w:t xml:space="preserve"> тыс. рублей. 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 отношению к первоначальным показателям налоговых и неналоговых доходов в 2021 году рост данного показателя составит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16 099,1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или 19,4%.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 плановый период объем налоговых и неналоговых доходов прогнозируется в сумме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102 107,0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в 2024 году и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105 565,6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тыс. рублей в 2025 году.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Доля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налоговых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поступлений в общем объеме налоговых и неналоговых доходов районного бюджета в 2023 году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87,9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По сравнению с первоначальными показателями 2022 года налоговые доходы запланированы в большем объеме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6 324,1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или 13,1%, по сравнению с первоначальным планом.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плановом периоде 2024 и 2025 годов налоговые доходы бюджета прогнозируются в сумме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90 124,0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и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93 582,6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рублей, соответственно. </w:t>
      </w:r>
    </w:p>
    <w:p>
      <w:pPr>
        <w:pStyle w:val="Normal"/>
        <w:spacing w:lineRule="auto" w:line="24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Структура налоговых доходов на 2023 год и плановый период 2024 и 2025 годов, а также их соотношение с аналогичными показателями 2022 – 2021 годов представлена в следующем графике:</w:t>
      </w:r>
    </w:p>
    <w:p>
      <w:pPr>
        <w:pStyle w:val="Normal"/>
        <w:tabs>
          <w:tab w:val="clear" w:pos="708"/>
          <w:tab w:val="left" w:pos="117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Налоговые доходы бюджета Малоархангельского района</w:t>
      </w:r>
    </w:p>
    <w:p>
      <w:pPr>
        <w:pStyle w:val="Normal"/>
        <w:tabs>
          <w:tab w:val="clear" w:pos="708"/>
          <w:tab w:val="left" w:pos="117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6132195" cy="3846195"/>
            <wp:effectExtent l="0" t="0" r="0" b="0"/>
            <wp:docPr id="4" name="Объект 1" descr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Основными налоговыми доходами являются: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налог на доходы физических лиц;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государственная пошлина.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Прогноз поступлений по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налогу на доходы физических лиц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на 2023 год составит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65 795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рублей, что составляет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75,7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всех налоговых доходов.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З</w:t>
      </w:r>
      <w:r>
        <w:rPr>
          <w:rFonts w:eastAsia="Times New Roman" w:cs="Times New Roman" w:ascii="Times New Roman" w:hAnsi="Times New Roman"/>
          <w:spacing w:val="4"/>
          <w:sz w:val="28"/>
          <w:szCs w:val="28"/>
          <w:lang w:eastAsia="ru-RU"/>
        </w:rPr>
        <w:t>а базу расчета приняты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суммы налогооблагаемого дохода за 2021 год, по данным формы № 5-НДФЛ Управления Федеральной налоговой службы, по каждому виду доходов, в отношении которых установлены различные налоговые ставки в соответствии со статьей 224 Налогового кодекса Российской Федерации. Исчисленная сумма налога на доходы физических лиц корректировалась с учетом фактического поступления в бюджет налога на доходы физических лиц, а также прогнозируемого темпа роста фонда оплаты труда в очередном финансовом году в соответствии с прогнозом социально-экономического развития Малоархангельского района на 2023 год и на плановый период до 2024-2025 годов.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pacing w:val="-6"/>
          <w:sz w:val="28"/>
          <w:szCs w:val="28"/>
          <w:lang w:eastAsia="ru-RU"/>
        </w:rPr>
        <w:t>Прогноз поступлений по налогу на доходы физических лиц в 2023 году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ниже показателей первоначального плана 2022 года по данному виду доходов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0,5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рублей. По сравнению с первоначальными показателями налога на доходы физических лиц в 2021 году, прогноз выше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2905,0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или на 4,6%. На 2023 год дополнительный норматив отчисления в бюджет Малоархангельского района от налога на доходы физических лиц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45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плановом периоде прогноз поступлений по налогу на доходы физических лиц составит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68 427,0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на 2024 год и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71319,0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на 2025 год.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Поступления по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акцизам на нефтепродукты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2023 год прогнозируются в сумме 10897,1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тыс. рублей. По сравнению с начальным планом на 2022 год, в 2023 году прогнозируется увеличение доходов от акцизов на нефтепродукты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2 897,1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 за счет перераспределения дифференцированных нормативов отчислений от акцизов на нефтепродукты между муниципальным районом и бюджетами сельских поселений в связи закреплением полномочий по дорожной деятельности за сельскими поселениями. С 2023 года акцизы на нефтепродукты будут поступать в районный бюджет</w:t>
      </w: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>исходя из протяженности автомобильных дорог местного значения, находящихся в собственности муниципального района (муниципального образования)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Удельный вес налога в общем объеме налоговых доходов в 2023 году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12,5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Прогноз поступлений по акцизам на нефтепродукты на плановый период 2024 и 2025 годов составит </w:t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>11 507,0</w:t>
      </w:r>
      <w:r>
        <w:rPr>
          <w:rFonts w:eastAsia="Calibri"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тыс. рублей и </w:t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>12 073,6</w:t>
      </w:r>
      <w:r>
        <w:rPr>
          <w:rFonts w:eastAsia="Calibri" w:cs="Times New Roman" w:ascii="Times New Roman" w:hAnsi="Times New Roman"/>
          <w:sz w:val="28"/>
          <w:szCs w:val="28"/>
        </w:rPr>
        <w:t xml:space="preserve"> тыс. рублей соответственно.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Объем поступлений по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государственной пошлине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2023 году прогнозируется в сумме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1 100,0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рублей. Планируемый объем поступлений государственной пошлины в районный бюджет в 2023 году больше первоначальных показателей 2022 года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200,0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рублей. </w:t>
      </w:r>
      <w:r>
        <w:rPr>
          <w:rFonts w:eastAsia="Calibri" w:cs="Times New Roman" w:ascii="Times New Roman" w:hAnsi="Times New Roman"/>
          <w:sz w:val="28"/>
          <w:szCs w:val="28"/>
        </w:rPr>
        <w:t xml:space="preserve">Удельный вес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поступлений по государственной пошлине </w:t>
      </w:r>
      <w:r>
        <w:rPr>
          <w:rFonts w:eastAsia="Calibri" w:cs="Times New Roman" w:ascii="Times New Roman" w:hAnsi="Times New Roman"/>
          <w:sz w:val="28"/>
          <w:szCs w:val="28"/>
        </w:rPr>
        <w:t xml:space="preserve">в общем объеме налоговых доходов составит </w:t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>1,3</w:t>
      </w:r>
      <w:r>
        <w:rPr>
          <w:rFonts w:eastAsia="Calibri" w:cs="Times New Roman" w:ascii="Times New Roman" w:hAnsi="Times New Roman"/>
          <w:b/>
          <w:sz w:val="28"/>
          <w:szCs w:val="28"/>
        </w:rPr>
        <w:t>%</w:t>
      </w:r>
      <w:r>
        <w:rPr>
          <w:rFonts w:eastAsia="Calibri" w:cs="Times New Roman" w:ascii="Times New Roman" w:hAnsi="Times New Roman"/>
          <w:sz w:val="28"/>
          <w:szCs w:val="28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Calibri" w:cs="Times New Roman" w:ascii="Times New Roman" w:hAnsi="Times New Roman"/>
          <w:sz w:val="28"/>
          <w:szCs w:val="28"/>
        </w:rPr>
        <w:t xml:space="preserve">В 2024 году поступления по государственной пошлине прогнозируются в размере </w:t>
      </w:r>
      <w:r>
        <w:rPr>
          <w:rFonts w:eastAsia="Calibri" w:cs="Times New Roman" w:ascii="Times New Roman" w:hAnsi="Times New Roman"/>
          <w:b/>
          <w:bCs/>
          <w:sz w:val="28"/>
          <w:szCs w:val="28"/>
        </w:rPr>
        <w:t>1 100,0</w:t>
      </w:r>
      <w:r>
        <w:rPr>
          <w:rFonts w:eastAsia="Calibri" w:cs="Times New Roman" w:ascii="Times New Roman" w:hAnsi="Times New Roman"/>
          <w:b/>
          <w:sz w:val="28"/>
          <w:szCs w:val="28"/>
        </w:rPr>
        <w:t xml:space="preserve"> </w:t>
      </w:r>
      <w:r>
        <w:rPr>
          <w:rFonts w:eastAsia="Calibri" w:cs="Times New Roman" w:ascii="Times New Roman" w:hAnsi="Times New Roman"/>
          <w:sz w:val="28"/>
          <w:szCs w:val="28"/>
        </w:rPr>
        <w:t xml:space="preserve">тыс. рублей, в 2025 году – </w:t>
      </w:r>
      <w:r>
        <w:rPr>
          <w:rFonts w:eastAsia="Calibri" w:cs="Times New Roman" w:ascii="Times New Roman" w:hAnsi="Times New Roman"/>
          <w:b/>
          <w:sz w:val="28"/>
          <w:szCs w:val="28"/>
        </w:rPr>
        <w:t>1 100,0</w:t>
      </w:r>
      <w:r>
        <w:rPr>
          <w:rFonts w:eastAsia="Calibri" w:cs="Times New Roman" w:ascii="Times New Roman" w:hAnsi="Times New Roman"/>
          <w:sz w:val="28"/>
          <w:szCs w:val="28"/>
        </w:rPr>
        <w:t xml:space="preserve"> тыс. рублей.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Прогноз поступлений по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неналоговым доходам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бюджет района в 2023 году составит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11 983,0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рублей. Доля неналоговых поступлений в общем объеме налоговых и неналоговых доходов районного бюджета в 2023 году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12,1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По сравнению с показателями первоначального плана 2022 года неналоговые доходы в 2023 году запланированы в меньшем объеме на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 9 602,0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тыс. рублей за счет уменьшения доходов от продажи земельных участков.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2024 году неналоговые доходы прогнозируются в размере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11 983,0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рублей, в 2025 году –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11 983,0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тыс. рублей.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Структура неналоговых доходов на 2023 год и плановый период 2024 и 2025 годов, и их соотношение с аналогичными показателями 2021–2022 годов представлена в следующем графике:</w:t>
      </w:r>
    </w:p>
    <w:p>
      <w:pPr>
        <w:pStyle w:val="Normal"/>
        <w:tabs>
          <w:tab w:val="clear" w:pos="708"/>
          <w:tab w:val="left" w:pos="117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Неналоговые доходы бюджета Малоархангельского района</w:t>
      </w:r>
    </w:p>
    <w:p>
      <w:pPr>
        <w:pStyle w:val="Normal"/>
        <w:spacing w:lineRule="auto" w:line="240" w:before="0" w:after="0"/>
        <w:ind w:hanging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6795135" cy="1289685"/>
            <wp:effectExtent l="0" t="0" r="0" b="0"/>
            <wp:docPr id="5" name="Объект 2" descr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Сумма поступлений по доходам, получаемым в виде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арендной платы за земельные участки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, в 2023 году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11 600,0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тыс. рублей.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Доля поступления доходов, получаемых в виде арендной платы за земельные участки, в общей сумме неналоговых доходов в 2023 году составит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96,8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. </w:t>
      </w:r>
      <w:r>
        <w:rPr>
          <w:rFonts w:eastAsia="Times New Roman" w:cs="Times New Roman" w:ascii="Times New Roman" w:hAnsi="Times New Roman"/>
          <w:spacing w:val="-6"/>
          <w:sz w:val="28"/>
          <w:szCs w:val="28"/>
          <w:lang w:eastAsia="ru-RU"/>
        </w:rPr>
        <w:t>Прогноз поступлений по данному виду доходов в 2023 году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выше первоначальных назначений 2022 года на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3 695,0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рублей, что связано с заключением новых договоров аренды земельных участков и увеличением размера арендных платежей по отдельным договорам аренды земельных участков.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На 2024 и 2025 год доходы в виде арендной платы за земельные участки прогнозируются в размере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11 600,0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тыс. рублей.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eastAsia="Times New Roman" w:ascii="Times New Roman" w:hAnsi="Times New Roman"/>
          <w:b/>
          <w:bCs/>
          <w:iCs/>
          <w:sz w:val="28"/>
          <w:szCs w:val="28"/>
        </w:rPr>
        <w:t>Безвозмездные поступления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 в районном бюджете на 2023 год предусмотрены в объеме </w:t>
      </w:r>
      <w:r>
        <w:rPr>
          <w:rFonts w:eastAsia="Times New Roman" w:ascii="Times New Roman" w:hAnsi="Times New Roman"/>
          <w:b/>
          <w:bCs/>
          <w:iCs/>
          <w:sz w:val="28"/>
          <w:szCs w:val="28"/>
        </w:rPr>
        <w:t>191 933,8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 тыс. рублей, удельный вес безвозмездных поступлений в общей прогнозируемой доходной части бюджета на 2023 год составит </w:t>
      </w:r>
      <w:r>
        <w:rPr>
          <w:rFonts w:eastAsia="Times New Roman" w:ascii="Times New Roman" w:hAnsi="Times New Roman"/>
          <w:b/>
          <w:bCs/>
          <w:iCs/>
          <w:sz w:val="28"/>
          <w:szCs w:val="28"/>
        </w:rPr>
        <w:t>66%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Безвозмездные поступления в 2023 году по сравнению с показателями первоначального плана 2022года планируются в большем объеме на </w:t>
      </w:r>
      <w:r>
        <w:rPr>
          <w:rFonts w:eastAsia="Times New Roman" w:ascii="Times New Roman" w:hAnsi="Times New Roman"/>
          <w:b/>
          <w:bCs/>
          <w:iCs/>
          <w:sz w:val="28"/>
          <w:szCs w:val="28"/>
        </w:rPr>
        <w:t>36 701,8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 тыс. рублей. По сравнению с показателями первоначального плана 2021 года прогноз безвозмездных перечислений увеличился на </w:t>
      </w:r>
      <w:r>
        <w:rPr>
          <w:rFonts w:eastAsia="Times New Roman" w:ascii="Times New Roman" w:hAnsi="Times New Roman"/>
          <w:b/>
          <w:bCs/>
          <w:iCs/>
          <w:sz w:val="28"/>
          <w:szCs w:val="28"/>
        </w:rPr>
        <w:t>69 514,7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 тыс. рублей.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 плановом периоде прогноз безвозмездных поступлений составит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147 414,8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тыс. рублей на 2024 год и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143 578,6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 на 2025 год.</w:t>
      </w:r>
    </w:p>
    <w:p>
      <w:pPr>
        <w:pStyle w:val="Normal"/>
        <w:keepNext w:val="true"/>
        <w:numPr>
          <w:ilvl w:val="0"/>
          <w:numId w:val="0"/>
        </w:numPr>
        <w:spacing w:lineRule="auto" w:line="240" w:before="0" w:after="0"/>
        <w:ind w:left="0" w:firstLine="567"/>
        <w:jc w:val="both"/>
        <w:outlineLvl w:val="1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Структура безвозмездных поступлений бюджета </w:t>
      </w:r>
      <w:r>
        <w:rPr>
          <w:rFonts w:eastAsia="Times New Roman" w:cs="Times New Roman" w:ascii="Times New Roman" w:hAnsi="Times New Roman"/>
          <w:bCs/>
          <w:iCs/>
          <w:sz w:val="28"/>
          <w:szCs w:val="28"/>
          <w:lang w:eastAsia="ru-RU"/>
        </w:rPr>
        <w:t>Малоархангельского</w:t>
      </w:r>
      <w:r>
        <w:rPr>
          <w:rFonts w:eastAsia="Times New Roman" w:ascii="Times New Roman" w:hAnsi="Times New Roman"/>
          <w:bCs/>
          <w:iCs/>
          <w:sz w:val="28"/>
          <w:szCs w:val="28"/>
        </w:rPr>
        <w:t xml:space="preserve"> района на 2023 год и на плановый период 2024 и 2025 годов представлена в разделе 5.</w:t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widowControl w:val="false"/>
        <w:spacing w:lineRule="auto" w:line="240" w:before="0" w:after="0"/>
        <w:ind w:firstLine="567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4. РАСХОДЫ БЮДЖЕТА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Расходы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бюджета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района на 2023 год планируются в размере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295 963,3</w:t>
      </w:r>
      <w:r>
        <w:rPr>
          <w:sz w:val="25"/>
          <w:szCs w:val="25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тыс. рублей. По сравнению с первоначальным планом 2022 года в 2023 году прогнозируется увеличение расходов на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 xml:space="preserve"> 35 013,5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тыс. рублей или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13,4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%.</w:t>
      </w:r>
    </w:p>
    <w:p>
      <w:pPr>
        <w:pStyle w:val="Normal"/>
        <w:spacing w:lineRule="auto" w:line="240" w:before="0" w:after="0"/>
        <w:ind w:firstLine="567"/>
        <w:jc w:val="both"/>
        <w:rPr>
          <w:sz w:val="27"/>
          <w:szCs w:val="27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Расходы планового периода запланированы на 2024 год в размере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253 670,8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рублей, в том числе условно утвержденные расходы в сумме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3 041,7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 и на 2025 год в сумме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253 376,1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рублей, в том числе условно утвержденные расходы в сумме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 xml:space="preserve"> 5 884,3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 в пределах ожидаемого поступления доходов</w:t>
      </w:r>
      <w:r>
        <w:rPr>
          <w:sz w:val="27"/>
          <w:szCs w:val="27"/>
        </w:rPr>
        <w:t xml:space="preserve">. </w:t>
      </w:r>
    </w:p>
    <w:p>
      <w:pPr>
        <w:pStyle w:val="Style32"/>
        <w:ind w:firstLine="567"/>
        <w:rPr>
          <w:szCs w:val="28"/>
        </w:rPr>
      </w:pPr>
      <w:r>
        <w:rPr>
          <w:szCs w:val="28"/>
        </w:rPr>
        <w:t>В соответствии со ст. 184.1 Бюджетного кодекса РФ общий объем условно утверждаемых расходов на первый год планового периода</w:t>
      </w:r>
      <w:r>
        <w:rPr>
          <w:sz w:val="27"/>
          <w:szCs w:val="27"/>
        </w:rPr>
        <w:t xml:space="preserve"> </w:t>
      </w:r>
      <w:r>
        <w:rPr>
          <w:szCs w:val="28"/>
        </w:rPr>
        <w:t xml:space="preserve">принимается в объеме не менее </w:t>
      </w:r>
      <w:r>
        <w:rPr>
          <w:b/>
          <w:szCs w:val="28"/>
        </w:rPr>
        <w:t>2,5%</w:t>
      </w:r>
      <w:r>
        <w:rPr>
          <w:szCs w:val="28"/>
        </w:rPr>
        <w:t xml:space="preserve">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назначение), на второй год планового периода в объеме не менее </w:t>
      </w:r>
      <w:r>
        <w:rPr>
          <w:b/>
          <w:szCs w:val="28"/>
        </w:rPr>
        <w:t>5,0%</w:t>
      </w:r>
      <w:r>
        <w:rPr>
          <w:szCs w:val="28"/>
        </w:rPr>
        <w:t xml:space="preserve"> общего объема расходов бюджета (без учета расходов бюджета, предусмотренных за счет межбюджетных трансфертов из других бюджетов бюджетной системы Российской Федерации, имеющих целевое назначение).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Проект бюджета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Малоархангельского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района </w:t>
      </w:r>
      <w:r>
        <w:rPr>
          <w:rFonts w:eastAsia="Times New Roman" w:ascii="Times New Roman" w:hAnsi="Times New Roman"/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  <w:lang w:eastAsia="ru-RU"/>
        </w:rPr>
        <w:t>"</w:t>
      </w:r>
      <w:r>
        <w:rPr>
          <w:rFonts w:ascii="Times New Roman" w:hAnsi="Times New Roman"/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</w:rPr>
        <w:t xml:space="preserve">О районном бюджете на 2023 год и на плановый период 2024 и 2025 годов"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сформирован в трехлетнем программном формате – по муниципальным и ведомственным целевым программам.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Расходы на социальную сферу предусмотрены в объеме 7 280,0 тыс. рублей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, что составляет  2,5 % от общих расходов бюджета. По сравнению с первоначальным планом на 2022 год в 2023 году прогнозируется увеличение расходов на социальную сферу на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1 241,1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рублей.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mc:AlternateContent>
          <mc:Choice Requires="wps">
            <w:drawing>
              <wp:anchor behindDoc="0" distT="1270" distB="635" distL="635" distR="1270" simplePos="0" locked="0" layoutInCell="1" allowOverlap="1" relativeHeight="4">
                <wp:simplePos x="0" y="0"/>
                <wp:positionH relativeFrom="column">
                  <wp:posOffset>-445770</wp:posOffset>
                </wp:positionH>
                <wp:positionV relativeFrom="paragraph">
                  <wp:posOffset>91440</wp:posOffset>
                </wp:positionV>
                <wp:extent cx="6437630" cy="635"/>
                <wp:effectExtent l="635" t="1270" r="1270" b="635"/>
                <wp:wrapNone/>
                <wp:docPr id="6" name="Фигура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752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Фигура1" path="m0,0l-2147483648,-2147483647e" stroked="t" o:allowincell="f" style="position:absolute;margin-left:-35.1pt;margin-top:7.2pt;width:506.85pt;height:0pt;mso-wrap-style:none;v-text-anchor:middle" type="_x0000_t32"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</w:p>
    <w:p>
      <w:pPr>
        <w:pStyle w:val="Style32"/>
        <w:ind w:firstLine="568"/>
        <w:rPr>
          <w:szCs w:val="28"/>
        </w:rPr>
      </w:pPr>
      <w:r>
        <w:rPr>
          <w:szCs w:val="28"/>
        </w:rPr>
        <w:t xml:space="preserve">По разделу </w:t>
      </w:r>
      <w:r>
        <w:rPr>
          <w:b/>
          <w:szCs w:val="28"/>
        </w:rPr>
        <w:t>«Образование»</w:t>
      </w:r>
      <w:r>
        <w:rPr>
          <w:szCs w:val="28"/>
        </w:rPr>
        <w:t xml:space="preserve"> расходы предусмотрены в объеме </w:t>
      </w:r>
      <w:r>
        <w:rPr>
          <w:b/>
          <w:szCs w:val="28"/>
        </w:rPr>
        <w:t>176 689,1</w:t>
      </w:r>
      <w:r>
        <w:rPr>
          <w:b/>
          <w:sz w:val="25"/>
          <w:szCs w:val="25"/>
        </w:rPr>
        <w:t xml:space="preserve"> </w:t>
      </w:r>
      <w:r>
        <w:rPr>
          <w:szCs w:val="28"/>
        </w:rPr>
        <w:t xml:space="preserve">тыс. рублей, что составляет </w:t>
      </w:r>
      <w:r>
        <w:rPr>
          <w:b/>
          <w:bCs/>
          <w:szCs w:val="28"/>
        </w:rPr>
        <w:t>59,7</w:t>
      </w:r>
      <w:r>
        <w:rPr>
          <w:b/>
          <w:szCs w:val="28"/>
        </w:rPr>
        <w:t xml:space="preserve"> </w:t>
      </w:r>
      <w:r>
        <w:rPr>
          <w:szCs w:val="28"/>
        </w:rPr>
        <w:t xml:space="preserve">% от общих расходов бюджета. Относительно первоначального бюджета 2022 года прогнозируется увеличение расходов на </w:t>
      </w:r>
      <w:r>
        <w:rPr>
          <w:b/>
          <w:bCs/>
          <w:szCs w:val="28"/>
        </w:rPr>
        <w:t>9 376,0</w:t>
      </w:r>
      <w:r>
        <w:rPr>
          <w:szCs w:val="28"/>
        </w:rPr>
        <w:t xml:space="preserve"> тыс. рублей. Увеличение расходов по данному разделу в 2023 году связано с ростом заработной платы, увеличением расходов на оплату коммунальных услуг.</w:t>
      </w:r>
    </w:p>
    <w:p>
      <w:pPr>
        <w:pStyle w:val="Style32"/>
        <w:ind w:firstLine="567"/>
        <w:rPr>
          <w:szCs w:val="28"/>
        </w:rPr>
      </w:pPr>
      <w:r>
        <w:rPr>
          <w:szCs w:val="28"/>
        </w:rPr>
        <w:t xml:space="preserve">Расходы по данной отрасли запланированы на функционирование </w:t>
      </w:r>
      <w:r>
        <w:rPr>
          <w:sz w:val="28"/>
          <w:szCs w:val="28"/>
        </w:rPr>
        <w:t xml:space="preserve">4 дошкольных образовательных учреждений, </w:t>
      </w:r>
      <w:r>
        <w:rPr>
          <w:rFonts w:eastAsia="Times New Roman" w:cs="Times New Roman"/>
          <w:color w:val="auto"/>
          <w:sz w:val="28"/>
          <w:szCs w:val="28"/>
          <w:lang w:val="ru-RU" w:eastAsia="zh-CN" w:bidi="ar-SA"/>
        </w:rPr>
        <w:t>9</w:t>
      </w:r>
      <w:r>
        <w:rPr>
          <w:sz w:val="28"/>
          <w:szCs w:val="28"/>
        </w:rPr>
        <w:t xml:space="preserve"> учреждений общего образования, 3 учреждений дополнительного образования.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По разделу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«Культура и кинематография»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расходы предусмотрены в объеме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10 202,3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рублей, что составляет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3,4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% от общих расходов бюджета на 2023 год.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По данному разделу финансируются 1 дом культуры, централизованная библиотечная система.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По разделу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«Физическая культура и спорт»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- расходы предусмотрены в объеме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326,5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рублей.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По разделу </w:t>
      </w:r>
      <w:r>
        <w:rPr>
          <w:rFonts w:cs="Times New Roman" w:ascii="Times New Roman" w:hAnsi="Times New Roman"/>
          <w:b/>
          <w:sz w:val="28"/>
          <w:szCs w:val="28"/>
        </w:rPr>
        <w:t>«Социальная политика»</w:t>
      </w:r>
      <w:r>
        <w:rPr>
          <w:rFonts w:cs="Times New Roman" w:ascii="Times New Roman" w:hAnsi="Times New Roman"/>
          <w:sz w:val="28"/>
          <w:szCs w:val="28"/>
        </w:rPr>
        <w:t xml:space="preserve"> расходы предусматриваются в объеме </w:t>
      </w:r>
      <w:r>
        <w:rPr>
          <w:rFonts w:cs="Times New Roman" w:ascii="Times New Roman" w:hAnsi="Times New Roman"/>
          <w:b/>
          <w:sz w:val="28"/>
          <w:szCs w:val="28"/>
        </w:rPr>
        <w:t>7 280,0</w:t>
      </w:r>
      <w:r>
        <w:rPr>
          <w:rFonts w:cs="Times New Roman" w:ascii="Times New Roman" w:hAnsi="Times New Roman"/>
          <w:sz w:val="28"/>
          <w:szCs w:val="28"/>
        </w:rPr>
        <w:t xml:space="preserve"> тыс. рублей, в том числе  на пенсии за выслугу лет и доплаты к трудовой пенсии лицам, замещавшим должности муниципальной службы в органах местного самоуправления Малоархангельского района  </w:t>
      </w:r>
      <w:r>
        <w:rPr>
          <w:rFonts w:cs="Times New Roman" w:ascii="Times New Roman" w:hAnsi="Times New Roman"/>
          <w:b/>
          <w:sz w:val="28"/>
          <w:szCs w:val="28"/>
        </w:rPr>
        <w:t>1 700,0</w:t>
      </w:r>
      <w:r>
        <w:rPr>
          <w:rFonts w:cs="Times New Roman" w:ascii="Times New Roman" w:hAnsi="Times New Roman"/>
          <w:sz w:val="28"/>
          <w:szCs w:val="28"/>
        </w:rPr>
        <w:t xml:space="preserve"> тыс. рублей.  На компенсацию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 предусмотрено </w:t>
      </w:r>
      <w:r>
        <w:rPr>
          <w:rFonts w:cs="Times New Roman" w:ascii="Times New Roman" w:hAnsi="Times New Roman"/>
          <w:b/>
          <w:sz w:val="28"/>
          <w:szCs w:val="28"/>
        </w:rPr>
        <w:t>589,0</w:t>
      </w:r>
      <w:r>
        <w:rPr>
          <w:rFonts w:cs="Times New Roman" w:ascii="Times New Roman" w:hAnsi="Times New Roman"/>
          <w:sz w:val="28"/>
          <w:szCs w:val="28"/>
        </w:rPr>
        <w:t xml:space="preserve"> тыс. рублей, на обеспечение жильем молодых семей – </w:t>
      </w:r>
      <w:r>
        <w:rPr>
          <w:rFonts w:cs="Times New Roman" w:ascii="Times New Roman" w:hAnsi="Times New Roman"/>
          <w:b/>
          <w:sz w:val="28"/>
          <w:szCs w:val="28"/>
        </w:rPr>
        <w:t>579,6</w:t>
      </w:r>
      <w:r>
        <w:rPr>
          <w:rFonts w:cs="Times New Roman" w:ascii="Times New Roman" w:hAnsi="Times New Roman"/>
          <w:sz w:val="28"/>
          <w:szCs w:val="28"/>
        </w:rPr>
        <w:t xml:space="preserve"> тыс. рублей, на обеспечение жилищных прав детей-сирот и детей, оставшихся без попечения родителей, лиц из числа детей-сирот и детей, оставшихся без попечения родителей  -  </w:t>
      </w: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val="ru-RU" w:eastAsia="zh-CN" w:bidi="ar-SA"/>
        </w:rPr>
        <w:t>2 046,3</w:t>
      </w:r>
      <w:r>
        <w:rPr>
          <w:rFonts w:cs="Times New Roman" w:ascii="Times New Roman" w:hAnsi="Times New Roman"/>
          <w:sz w:val="28"/>
          <w:szCs w:val="28"/>
        </w:rPr>
        <w:t xml:space="preserve"> тыс.руб.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 разделу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«Общегосударственные вопросы»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расходы запланированы в объеме 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34 035,5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тыс. рублей, удельный вес от общих расходов 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11,5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 xml:space="preserve"> %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 Средства запланированы на содержание муниципальных учреждений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и органов местного самоуправления и содержание муниципального казенного учреждения «ЕДДС и МТО» 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По разделу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«Национальная экономика»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расходы предусмотрены  в размере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34 665,2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том числе на: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zh-CN" w:bidi="ar-SA"/>
        </w:rPr>
        <w:t xml:space="preserve">оказание транспортных услуг населению на маршрутах внутримуниципального сообщения — </w:t>
      </w: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val="ru-RU" w:eastAsia="zh-CN" w:bidi="ar-SA"/>
        </w:rPr>
        <w:t xml:space="preserve">1 437,9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zh-CN" w:bidi="ar-SA"/>
        </w:rPr>
        <w:t xml:space="preserve">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ru-RU" w:bidi="ar-SA"/>
        </w:rPr>
        <w:t>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ru-RU" w:bidi="ar-SA"/>
        </w:rPr>
        <w:t xml:space="preserve">-  ремонт улично-дорожной сети — </w:t>
      </w:r>
      <w:r>
        <w:rPr>
          <w:rFonts w:eastAsia="Times New Roman" w:cs="Times New Roman" w:ascii="Times New Roman" w:hAnsi="Times New Roman"/>
          <w:b/>
          <w:bCs/>
          <w:color w:val="auto"/>
          <w:sz w:val="28"/>
          <w:szCs w:val="28"/>
          <w:lang w:val="ru-RU" w:eastAsia="ru-RU" w:bidi="ar-SA"/>
        </w:rPr>
        <w:t>32 897,1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ru-RU" w:bidi="ar-SA"/>
        </w:rPr>
        <w:t xml:space="preserve">  тыс. рублей.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 xml:space="preserve">По разделу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>Жилищно-коммунальное хозяйство</w:t>
      </w: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»</w:t>
      </w:r>
      <w:r>
        <w:rPr>
          <w:rFonts w:cs="Times New Roman" w:ascii="Times New Roman" w:hAnsi="Times New Roman"/>
          <w:sz w:val="28"/>
          <w:szCs w:val="28"/>
        </w:rPr>
        <w:t xml:space="preserve"> всего запланировано расходов в объеме </w:t>
      </w:r>
      <w:r>
        <w:rPr>
          <w:rFonts w:cs="Times New Roman" w:ascii="Times New Roman" w:hAnsi="Times New Roman"/>
          <w:b/>
          <w:sz w:val="28"/>
          <w:szCs w:val="28"/>
        </w:rPr>
        <w:t>27 114,0</w:t>
      </w:r>
      <w:r>
        <w:rPr>
          <w:rFonts w:cs="Times New Roman" w:ascii="Times New Roman" w:hAnsi="Times New Roman"/>
          <w:sz w:val="28"/>
          <w:szCs w:val="28"/>
        </w:rPr>
        <w:t xml:space="preserve"> тыс. рублей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 том числе на: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- </w:t>
      </w:r>
      <w:r>
        <w:rPr>
          <w:rFonts w:eastAsia="Times New Roman" w:cs="Times New Roman" w:ascii="Times New Roman" w:hAnsi="Times New Roman"/>
          <w:color w:val="auto"/>
          <w:sz w:val="28"/>
          <w:szCs w:val="28"/>
          <w:lang w:val="ru-RU" w:eastAsia="zh-CN" w:bidi="ar-SA"/>
        </w:rPr>
        <w:t xml:space="preserve">на </w:t>
      </w:r>
      <w:r>
        <w:rPr>
          <w:rFonts w:eastAsia="Times New Roman" w:cs="Times New Roman" w:ascii="Times New Roman" w:hAnsi="Times New Roman"/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  <w:lang w:eastAsia="ru-RU"/>
        </w:rPr>
        <w:t xml:space="preserve">Водоснабжение поселка Станция Малоархангельск Подгородненского сельского поселения Малоархангельского района Орловской области (2 этап) — </w:t>
      </w:r>
      <w:r>
        <w:rPr>
          <w:rFonts w:eastAsia="Times New Roman" w:cs="Times New Roman" w:ascii="Times New Roman" w:hAnsi="Times New Roman"/>
          <w:b/>
          <w:bCs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  <w:lang w:eastAsia="ru-RU"/>
        </w:rPr>
        <w:t>20 010,9</w:t>
      </w:r>
      <w:r>
        <w:rPr>
          <w:rFonts w:eastAsia="Times New Roman" w:cs="Times New Roman" w:ascii="Times New Roman" w:hAnsi="Times New Roman"/>
          <w:b w:val="false"/>
          <w:i w:val="false"/>
          <w:strike w:val="false"/>
          <w:dstrike w:val="false"/>
          <w:outline w:val="false"/>
          <w:shadow w:val="false"/>
          <w:color w:val="000000"/>
          <w:sz w:val="28"/>
          <w:szCs w:val="28"/>
          <w:u w:val="none"/>
          <w:em w:val="none"/>
          <w:lang w:eastAsia="ru-RU"/>
        </w:rPr>
        <w:t xml:space="preserve"> тыс.руб..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 разделу «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Обслуживание государственного и муниципального долга»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запланировано расходов на обслуживание муниципального долга в объеме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240,0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 разделу «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Межбюджетные трансферты»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всего запланировано расходов в объеме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4 479,3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 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тыс. рублей, в том числе: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за счет субвенции областного бюджета на предоставление дотации поселениям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3 979,3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рублей,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–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дотации на выравнивание уровня бюджетной обеспеченности поселений из районного фонда финансовой поддержки </w:t>
      </w: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500,0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тыс. рублей.</w:t>
      </w:r>
    </w:p>
    <w:p>
      <w:pPr>
        <w:pStyle w:val="Normal"/>
        <w:overflowPunct w:val="false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overflowPunct w:val="false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8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Динамика первоначально утвержденных бюджетов Малоархангельского района  на 2021 – 2023 годы</w:t>
      </w:r>
    </w:p>
    <w:p>
      <w:pPr>
        <w:pStyle w:val="Normal"/>
        <w:spacing w:lineRule="auto" w:line="240" w:before="0" w:after="0"/>
        <w:ind w:firstLine="708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         </w:t>
      </w:r>
      <w:r>
        <w:rPr>
          <w:rFonts w:eastAsia="Times New Roman" w:ascii="Times New Roman" w:hAnsi="Times New Roman"/>
          <w:sz w:val="24"/>
          <w:szCs w:val="24"/>
          <w:lang w:eastAsia="ru-RU"/>
        </w:rPr>
        <w:t>тыс. рублей</w:t>
      </w:r>
    </w:p>
    <w:tbl>
      <w:tblPr>
        <w:tblW w:w="10778" w:type="dxa"/>
        <w:jc w:val="left"/>
        <w:tblInd w:w="-4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063"/>
        <w:gridCol w:w="1762"/>
        <w:gridCol w:w="1300"/>
        <w:gridCol w:w="1763"/>
        <w:gridCol w:w="1712"/>
        <w:gridCol w:w="401"/>
      </w:tblGrid>
      <w:tr>
        <w:trPr>
          <w:tblHeader w:val="true"/>
          <w:trHeight w:val="2131" w:hRule="atLeast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2021 год (первоначальный)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2021 год (факт)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2022 год (первоначальный)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r>
          </w:p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227" w:right="624" w:hanging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2022 год (факт)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2023 год (первоначальный)</w:t>
            </w:r>
          </w:p>
        </w:tc>
      </w:tr>
      <w:tr>
        <w:trPr>
          <w:trHeight w:val="17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205 185,1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293 769,6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257 375,0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364 083,3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290 798,9</w:t>
            </w:r>
          </w:p>
        </w:tc>
      </w:tr>
      <w:tr>
        <w:trPr>
          <w:trHeight w:val="401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Расходы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5"/>
                <w:szCs w:val="15"/>
              </w:rPr>
              <w:t>208 740,0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5"/>
                <w:szCs w:val="15"/>
              </w:rPr>
              <w:t>303 248,1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5"/>
                <w:szCs w:val="15"/>
              </w:rPr>
              <w:t>260 949,8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5"/>
                <w:szCs w:val="15"/>
              </w:rPr>
              <w:t>367 222,5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5"/>
                <w:szCs w:val="15"/>
                <w:lang w:eastAsia="ru-RU"/>
              </w:rPr>
              <w:t>295 963,3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/>
                <w:bCs/>
                <w:sz w:val="15"/>
                <w:szCs w:val="15"/>
              </w:rPr>
            </w:r>
          </w:p>
        </w:tc>
      </w:tr>
      <w:tr>
        <w:trPr>
          <w:trHeight w:val="493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25 574,1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40 123,1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32 598,0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49 526,0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34 035,5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750,5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750,5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773,3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819,3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931,4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30 466,0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52 393,3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31 375,0</w:t>
            </w:r>
          </w:p>
        </w:tc>
        <w:tc>
          <w:tcPr>
            <w:tcW w:w="17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66 642,5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34 665,2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1 969,8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color w:val="000000"/>
                <w:sz w:val="15"/>
                <w:szCs w:val="15"/>
              </w:rPr>
              <w:t>15 140,9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6 363,2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color w:val="000000"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color w:val="000000"/>
                <w:sz w:val="15"/>
                <w:szCs w:val="15"/>
              </w:rPr>
              <w:t>22 889,6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27 114,0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Охрана окружающей среды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166,3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130 794,4</w:t>
            </w:r>
          </w:p>
        </w:tc>
        <w:tc>
          <w:tcPr>
            <w:tcW w:w="13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164 978,0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167 313,1</w:t>
            </w:r>
          </w:p>
        </w:tc>
        <w:tc>
          <w:tcPr>
            <w:tcW w:w="171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185 707,7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176 689,1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10 323,6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16 130,0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11 293,7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13 928,0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10 202,3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5 278,5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4 823,9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6 038,9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18 223,0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7 280,0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17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80,0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364,2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352,0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307,0</w:t>
            </w:r>
          </w:p>
        </w:tc>
        <w:tc>
          <w:tcPr>
            <w:tcW w:w="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326,5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Обслуживание муниципального долга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400,0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318,1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350,0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336,2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240,0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3 103,1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8 059,8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4 492,6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Cs/>
                <w:sz w:val="15"/>
                <w:szCs w:val="15"/>
              </w:rPr>
            </w:pPr>
            <w:r>
              <w:rPr>
                <w:rFonts w:ascii="Times New Roman" w:hAnsi="Times New Roman"/>
                <w:bCs/>
                <w:sz w:val="15"/>
                <w:szCs w:val="15"/>
              </w:rPr>
              <w:t>8 833,2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sz w:val="15"/>
                <w:szCs w:val="15"/>
                <w:lang w:eastAsia="ru-RU"/>
              </w:rPr>
              <w:t>4 479,3</w:t>
            </w:r>
          </w:p>
        </w:tc>
      </w:tr>
      <w:tr>
        <w:trPr>
          <w:trHeight w:val="330" w:hRule="atLeast"/>
        </w:trPr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Дефицит (профицит)</w:t>
            </w: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15"/>
                <w:szCs w:val="15"/>
                <w:lang w:eastAsia="ru-RU"/>
              </w:rPr>
              <w:t>- 3 554,9</w:t>
            </w:r>
          </w:p>
        </w:tc>
        <w:tc>
          <w:tcPr>
            <w:tcW w:w="1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15"/>
                <w:szCs w:val="15"/>
                <w:lang w:eastAsia="ru-RU"/>
              </w:rPr>
              <w:t>- 9 478,5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15"/>
                <w:szCs w:val="15"/>
                <w:lang w:eastAsia="ru-RU"/>
              </w:rPr>
              <w:t>- 3 574,8</w:t>
            </w:r>
          </w:p>
        </w:tc>
        <w:tc>
          <w:tcPr>
            <w:tcW w:w="1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15"/>
                <w:szCs w:val="15"/>
                <w:lang w:eastAsia="ru-RU"/>
              </w:rPr>
              <w:t>- 3 139,2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color w:val="000000"/>
                <w:sz w:val="15"/>
                <w:szCs w:val="15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color w:val="000000"/>
                <w:sz w:val="15"/>
                <w:szCs w:val="15"/>
                <w:lang w:eastAsia="ru-RU"/>
              </w:rPr>
              <w:t>-5 164,4</w:t>
            </w:r>
          </w:p>
        </w:tc>
      </w:tr>
    </w:tbl>
    <w:p>
      <w:pPr>
        <w:sectPr>
          <w:footerReference w:type="default" r:id="rId10"/>
          <w:footerReference w:type="first" r:id="rId11"/>
          <w:type w:val="nextPage"/>
          <w:pgSz w:w="11906" w:h="16838"/>
          <w:pgMar w:left="825" w:right="566" w:gutter="0" w:header="0" w:top="567" w:footer="0" w:bottom="709"/>
          <w:pgNumType w:fmt="decimal"/>
          <w:formProt w:val="false"/>
          <w:textDirection w:val="lrTb"/>
          <w:docGrid w:type="default" w:linePitch="360" w:charSpace="4096"/>
        </w:sectPr>
      </w:pPr>
    </w:p>
    <w:p>
      <w:pPr>
        <w:pStyle w:val="Normal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Сведения о расходах бюджета Малоархангельского района по разделам и подразделам классификации расходов бюджета</w:t>
      </w:r>
    </w:p>
    <w:tbl>
      <w:tblPr>
        <w:tblW w:w="5000" w:type="pct"/>
        <w:jc w:val="left"/>
        <w:tblInd w:w="-2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44"/>
        <w:gridCol w:w="3366"/>
        <w:gridCol w:w="2190"/>
        <w:gridCol w:w="2191"/>
        <w:gridCol w:w="2297"/>
        <w:gridCol w:w="2398"/>
        <w:gridCol w:w="2175"/>
      </w:tblGrid>
      <w:tr>
        <w:trPr>
          <w:tblHeader w:val="true"/>
          <w:trHeight w:val="1053" w:hRule="atLeas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Р/з, П/рз</w:t>
            </w:r>
          </w:p>
        </w:tc>
        <w:tc>
          <w:tcPr>
            <w:tcW w:w="33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21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Фактическое исполнение за 2021 г.</w:t>
            </w:r>
          </w:p>
        </w:tc>
        <w:tc>
          <w:tcPr>
            <w:tcW w:w="21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Фактическое исполнение за 2022 г.</w:t>
            </w:r>
          </w:p>
        </w:tc>
        <w:tc>
          <w:tcPr>
            <w:tcW w:w="22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Проект бюджета 2023 год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Проект бюджета 2024 год</w:t>
            </w:r>
          </w:p>
        </w:tc>
        <w:tc>
          <w:tcPr>
            <w:tcW w:w="21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Проект бюджета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2025 год</w:t>
            </w:r>
          </w:p>
        </w:tc>
      </w:tr>
      <w:tr>
        <w:trPr>
          <w:trHeight w:val="58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385,7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1 812,5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1 585,1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1 785,1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1 985,1</w:t>
            </w:r>
          </w:p>
        </w:tc>
      </w:tr>
      <w:tr>
        <w:trPr>
          <w:trHeight w:val="462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Функционирование представительных органов муниципальных образований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933,3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870,9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688,3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742,4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842,4</w:t>
            </w:r>
          </w:p>
        </w:tc>
      </w:tr>
      <w:tr>
        <w:trPr>
          <w:trHeight w:val="33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14 640,8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17 299,0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13 398,3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13 610,6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14 010,6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0105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Судебная система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8,1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48,2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1,0</w:t>
            </w:r>
          </w:p>
        </w:tc>
      </w:tr>
      <w:tr>
        <w:trPr>
          <w:trHeight w:val="450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Обеспечение деятельности финансовых органов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3 463,1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4 788,9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3 882,8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4 192,8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4 492,8</w:t>
            </w:r>
          </w:p>
        </w:tc>
      </w:tr>
      <w:tr>
        <w:trPr>
          <w:trHeight w:val="327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100,0</w:t>
            </w:r>
          </w:p>
        </w:tc>
      </w:tr>
      <w:tr>
        <w:trPr>
          <w:trHeight w:val="337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20 692,1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24 706,5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14 379,9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11 885,4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9 640,2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40 123,1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49 526,0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34 035,5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32 317,4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31 072,1</w:t>
            </w:r>
          </w:p>
        </w:tc>
      </w:tr>
      <w:tr>
        <w:trPr>
          <w:trHeight w:val="350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750,5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819,3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931,4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974,4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1 009,4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shd w:fill="auto" w:val="clear"/>
                <w:lang w:eastAsia="ru-RU"/>
              </w:rPr>
              <w:t>0200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shd w:fill="auto" w:val="clear"/>
                <w:lang w:eastAsia="ru-RU"/>
              </w:rPr>
              <w:t>Национальная оборона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sz w:val="16"/>
                <w:szCs w:val="16"/>
                <w:highlight w:val="none"/>
                <w:shd w:fill="auto" w:val="clear"/>
              </w:rPr>
            </w:pPr>
            <w:r>
              <w:rPr>
                <w:b/>
                <w:bCs/>
                <w:sz w:val="16"/>
                <w:szCs w:val="16"/>
                <w:shd w:fill="auto" w:val="clear"/>
              </w:rPr>
              <w:t>750,5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sz w:val="16"/>
                <w:szCs w:val="16"/>
                <w:highlight w:val="none"/>
                <w:shd w:fill="auto" w:val="clear"/>
              </w:rPr>
            </w:pPr>
            <w:r>
              <w:rPr>
                <w:b/>
                <w:bCs/>
                <w:sz w:val="16"/>
                <w:szCs w:val="16"/>
                <w:shd w:fill="auto" w:val="clear"/>
              </w:rPr>
              <w:t>819,3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shd w:fill="auto" w:val="clear"/>
                <w:lang w:eastAsia="ru-RU"/>
              </w:rPr>
              <w:t>931,4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shd w:fill="auto" w:val="clear"/>
                <w:lang w:eastAsia="ru-RU"/>
              </w:rPr>
              <w:t>974,4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highlight w:val="none"/>
                <w:shd w:fill="auto" w:val="clear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shd w:fill="auto" w:val="clear"/>
                <w:lang w:eastAsia="ru-RU"/>
              </w:rPr>
              <w:t>1 009,4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0405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Сельское хозяйство и рыболовство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330,2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330,2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330,2</w:t>
            </w:r>
          </w:p>
        </w:tc>
      </w:tr>
      <w:tr>
        <w:trPr>
          <w:trHeight w:val="300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Транспорт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1 154,7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1 174,2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1 437,9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1 507,4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1 137,9</w:t>
            </w:r>
          </w:p>
        </w:tc>
      </w:tr>
      <w:tr>
        <w:trPr>
          <w:trHeight w:val="314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51 238,6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65 468,3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32 897,1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33 507,0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34 073,6</w:t>
            </w:r>
          </w:p>
        </w:tc>
      </w:tr>
      <w:tr>
        <w:trPr>
          <w:trHeight w:val="237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52 393,3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66 642,5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34 665,2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35 344,6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35 541,7</w:t>
            </w:r>
          </w:p>
        </w:tc>
      </w:tr>
      <w:tr>
        <w:trPr>
          <w:trHeight w:val="33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206,4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4 945,5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3 211,7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17 940,6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23 292,0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25,6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287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10 030,8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1 816,9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1 507,0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33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1 898,4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2 925,7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2 225,0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2 313,4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2 513,4</w:t>
            </w:r>
          </w:p>
        </w:tc>
      </w:tr>
      <w:tr>
        <w:trPr>
          <w:trHeight w:val="247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15 140,9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22 889,6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27 114,0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7 284,5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2 513,4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0701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Дошкольное образование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26 150,0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25 288,2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24 138,6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23 138,6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18 894,7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0702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Общее образование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122 062,0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140 227,3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123 482,6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110 646,2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104 441,1</w:t>
            </w:r>
          </w:p>
        </w:tc>
      </w:tr>
      <w:tr>
        <w:trPr>
          <w:trHeight w:val="304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Дополнительное образование детей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11 387,2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14 466,6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24 348,4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11 790,4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12 106,1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Молодежная политика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617,1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576,7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491,2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420,0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200,0</w:t>
            </w:r>
          </w:p>
        </w:tc>
      </w:tr>
      <w:tr>
        <w:trPr>
          <w:trHeight w:val="28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0709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Другие вопросы в области образования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4 761,7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5 149,2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4 228,3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4 463,6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4 863,6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Образование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164 978,0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185 707,7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176 689,1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150 458,8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140 505,5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10 264,4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10 747,8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7 590,8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7 442,6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7 270,2</w:t>
            </w:r>
          </w:p>
        </w:tc>
      </w:tr>
      <w:tr>
        <w:trPr>
          <w:trHeight w:val="360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0804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5 865,6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3 180,2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2 611,5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2 678,7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2 878,7</w:t>
            </w:r>
          </w:p>
        </w:tc>
      </w:tr>
      <w:tr>
        <w:trPr>
          <w:trHeight w:val="269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16 130,0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13 928,0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10 202,3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10 121,3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10 148,9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1 676,8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1 603,2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1 700,0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1 900,0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1 900,0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Социальное обеспечение населения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260,2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1 158,9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384,0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384,0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384,0</w:t>
            </w:r>
          </w:p>
        </w:tc>
      </w:tr>
      <w:tr>
        <w:trPr>
          <w:trHeight w:val="22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1004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Охрана семьи и детства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1 659,5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12 124,2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3 820,4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6 189,2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6 278,9</w:t>
            </w:r>
          </w:p>
        </w:tc>
      </w:tr>
      <w:tr>
        <w:trPr>
          <w:trHeight w:val="28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1006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1 227,4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3 346,7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1 375,6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1 375,6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 w:val="false"/>
                <w:bCs w:val="false"/>
                <w:sz w:val="16"/>
                <w:szCs w:val="16"/>
                <w:highlight w:val="none"/>
                <w:shd w:fill="auto" w:val="clear"/>
                <w:lang w:eastAsia="ru-RU"/>
              </w:rPr>
            </w:pPr>
            <w:r>
              <w:rPr>
                <w:rFonts w:eastAsia="Times New Roman" w:ascii="Times New Roman" w:hAnsi="Times New Roman"/>
                <w:b w:val="false"/>
                <w:bCs w:val="false"/>
                <w:sz w:val="16"/>
                <w:szCs w:val="16"/>
                <w:shd w:fill="auto" w:val="clear"/>
                <w:lang w:eastAsia="ru-RU"/>
              </w:rPr>
              <w:t>1 375,6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4 823,9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18 233,0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7 280,0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9 848,8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9 938,5</w:t>
            </w:r>
          </w:p>
        </w:tc>
      </w:tr>
      <w:tr>
        <w:trPr>
          <w:trHeight w:val="29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364,2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307,0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326,5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12 783,0</w:t>
            </w:r>
          </w:p>
        </w:tc>
      </w:tr>
      <w:tr>
        <w:trPr>
          <w:trHeight w:val="41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364,2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307,0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326,5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300,0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sz w:val="16"/>
                <w:szCs w:val="16"/>
                <w:lang w:eastAsia="ru-RU"/>
              </w:rPr>
              <w:t>12 783,0</w:t>
            </w:r>
          </w:p>
        </w:tc>
      </w:tr>
      <w:tr>
        <w:trPr>
          <w:trHeight w:val="568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1301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Обслуживание внутреннего муниципального долга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318,1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336,2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491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318,1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336,2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240,0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</w:r>
          </w:p>
        </w:tc>
      </w:tr>
      <w:tr>
        <w:trPr>
          <w:trHeight w:val="710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1401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Дотации на выравнивание бюджетной обеспеченности муниципальных образований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  <w:highlight w:val="none"/>
                <w:shd w:fill="auto" w:val="clear"/>
              </w:rPr>
            </w:pPr>
            <w:r>
              <w:rPr>
                <w:sz w:val="16"/>
                <w:szCs w:val="16"/>
                <w:shd w:fill="auto" w:val="clear"/>
              </w:rPr>
              <w:t>2 949,6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3 655,6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3 979,3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3 979,3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3 979,3</w:t>
            </w:r>
          </w:p>
        </w:tc>
      </w:tr>
      <w:tr>
        <w:trPr>
          <w:trHeight w:val="67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1402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Иные дотации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  <w:highlight w:val="none"/>
                <w:shd w:fill="auto" w:val="clear"/>
              </w:rPr>
            </w:pPr>
            <w:r>
              <w:rPr>
                <w:sz w:val="16"/>
                <w:szCs w:val="16"/>
                <w:shd w:fill="auto" w:val="clear"/>
              </w:rPr>
              <w:t>5 110,2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5 177,6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675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  <w:t>Прочие межбюджетные трансферты бюджетам муниципальных образований общего характера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sz w:val="16"/>
                <w:szCs w:val="16"/>
                <w:highlight w:val="none"/>
                <w:shd w:fill="auto" w:val="clear"/>
              </w:rPr>
            </w:pPr>
            <w:r>
              <w:rPr>
                <w:sz w:val="16"/>
                <w:szCs w:val="16"/>
                <w:shd w:fill="auto" w:val="clear"/>
              </w:rPr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sz w:val="16"/>
                <w:szCs w:val="16"/>
                <w:lang w:eastAsia="ru-RU"/>
              </w:rPr>
            </w:r>
          </w:p>
        </w:tc>
      </w:tr>
      <w:tr>
        <w:trPr>
          <w:trHeight w:val="984" w:hRule="atLeast"/>
        </w:trPr>
        <w:tc>
          <w:tcPr>
            <w:tcW w:w="9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3366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Межбюджетные трансферты общего характера бюджетам субъектов РФ и муниципальных образований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8 059,8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8 833,2</w:t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4 479,3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3 979,3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3 979,3</w:t>
            </w:r>
          </w:p>
        </w:tc>
      </w:tr>
      <w:tr>
        <w:trPr>
          <w:trHeight w:val="511" w:hRule="atLeast"/>
        </w:trPr>
        <w:tc>
          <w:tcPr>
            <w:tcW w:w="4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190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303 248,1</w:t>
            </w:r>
          </w:p>
        </w:tc>
        <w:tc>
          <w:tcPr>
            <w:tcW w:w="2191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</w:r>
          </w:p>
        </w:tc>
        <w:tc>
          <w:tcPr>
            <w:tcW w:w="2297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295 963,3</w:t>
            </w:r>
          </w:p>
        </w:tc>
        <w:tc>
          <w:tcPr>
            <w:tcW w:w="2398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253 670,8</w:t>
            </w:r>
          </w:p>
        </w:tc>
        <w:tc>
          <w:tcPr>
            <w:tcW w:w="2175" w:type="dxa"/>
            <w:tcBorders>
              <w:bottom w:val="single" w:sz="4" w:space="0" w:color="000000"/>
              <w:right w:val="single" w:sz="4" w:space="0" w:color="000000"/>
            </w:tcBorders>
            <w:shd w:color="000000" w:fill="FFFFCC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6"/>
                <w:szCs w:val="16"/>
                <w:lang w:eastAsia="ru-RU"/>
              </w:rPr>
              <w:t>253 376,1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sz w:val="28"/>
          <w:szCs w:val="28"/>
        </w:rPr>
      </w:pPr>
      <w:r>
        <w:rPr/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Муниципальные программы</w:t>
      </w:r>
    </w:p>
    <w:p>
      <w:pPr>
        <w:pStyle w:val="Normal"/>
        <w:spacing w:lineRule="auto" w:line="240"/>
        <w:jc w:val="right"/>
        <w:rPr>
          <w:rFonts w:ascii="Times New Roman" w:hAnsi="Times New Roman"/>
          <w:b w:val="false"/>
          <w:bCs w:val="false"/>
          <w:sz w:val="16"/>
          <w:szCs w:val="16"/>
        </w:rPr>
      </w:pPr>
      <w:r>
        <w:rPr>
          <w:rFonts w:ascii="Times New Roman" w:hAnsi="Times New Roman"/>
          <w:b w:val="false"/>
          <w:bCs w:val="false"/>
          <w:sz w:val="16"/>
          <w:szCs w:val="16"/>
        </w:rPr>
        <w:t>тыс.руб.)</w:t>
      </w:r>
    </w:p>
    <w:tbl>
      <w:tblPr>
        <w:tblW w:w="15813" w:type="dxa"/>
        <w:jc w:val="left"/>
        <w:tblInd w:w="-25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50"/>
        <w:gridCol w:w="1587"/>
        <w:gridCol w:w="1637"/>
        <w:gridCol w:w="2438"/>
      </w:tblGrid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2023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2024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2025</w:t>
            </w:r>
          </w:p>
        </w:tc>
      </w:tr>
      <w:tr>
        <w:trPr>
          <w:trHeight w:val="420" w:hRule="atLeast"/>
        </w:trPr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 "Комплексное развитие систем коммунальной инфраструктуры Малоархангельского района на 2015 - 2025 годы"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23 089,0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25,6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0,0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«Организация оплачиваемых общественных работ в Малоархангельском районе на 2020-2023 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11,3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«Противодействие экстремизму и профилактики терроризма на территории Малоархангельского района на 2023-2026 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2,5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2,5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2,5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 "Профилактика правонарушений в Малоархангельском  районе на 2021-2024годы"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35,0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35,0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«Развитие, ремонт и содержание сети автомобильных дорог общего пользования местного значения в границах Малоархангельского района на 2022-2026 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32 897,1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33 507,0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34 073,6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Style33"/>
              <w:jc w:val="both"/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</w:rPr>
              <w:t xml:space="preserve">Муниципальная программа «Комплексное развитие сельских территорий Малоархангельского района Орловской области на 2022–2030 годы» 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12,3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  <w:lang w:val="ru-RU" w:eastAsia="zh-CN" w:bidi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Style33"/>
              <w:jc w:val="left"/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</w:rPr>
              <w:t>Муниципальная программа «Благоустройство территории Малоархангельского района Орловской области на 2020-2022 годы» в рамках проекта «Народный бюджет» в Орловской области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1494,7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Малоархангельского района "Развитие образования Малоархангельского района на 2021-2025 годы"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142723,2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128426,7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126651,0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«Культура Малоархангельского района на 2021-2026</w:t>
            </w:r>
            <w:r>
              <w:rPr>
                <w:rFonts w:eastAsia="Times New Roman"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11962,2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10189,3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10189,3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Style33"/>
              <w:jc w:val="both"/>
              <w:rPr>
                <w:rFonts w:ascii="Times New Roman" w:hAnsi="Times New Roman" w:cstheme="minorBidi"/>
                <w:b w:val="false"/>
                <w:bCs w:val="false"/>
                <w:color w:val="000000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Theme="minorHAnsi" w:cstheme="minorBidi" w:eastAsiaTheme="minorHAnsi" w:hAnsiTheme="minorHAnsi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</w:rPr>
              <w:t>Муниципальная программа «Сохранение, реконструкция, ремонт и благоустройство военно-мемориальных объектов в Малоархангельском районе на 2022-2026г».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600,0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 "Организация временного трудоустройство несовершеннолетних граждан в возрасте от 14 до 18 лет в свободное от учебы время, в том числе в каникулярный период, в Малоархангельском районе Орловской области на 2020-2023г"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37,5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 w:cs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«Комплексные меры противодействия злоупотреблению наркотиков и их незаконному обороту на 2020-2024 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20,0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20,0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"Обеспечение жильем молодых семей"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579,6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579,6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napToGrid w:val="false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sz w:val="20"/>
                <w:szCs w:val="20"/>
                <w:u w:val="none"/>
                <w:shd w:fill="auto" w:val="clear"/>
              </w:rPr>
              <w:t>579,6</w:t>
            </w:r>
          </w:p>
        </w:tc>
      </w:tr>
      <w:tr>
        <w:trPr/>
        <w:tc>
          <w:tcPr>
            <w:tcW w:w="10150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both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shd w:fill="auto" w:val="clear"/>
                <w:em w:val="none"/>
              </w:rPr>
              <w:t>Муниципальная программа "Развитие физической культуры и спорта в Малоархангельском районе на 2021-2026 годы»</w:t>
            </w:r>
          </w:p>
        </w:tc>
        <w:tc>
          <w:tcPr>
            <w:tcW w:w="158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326,5</w:t>
            </w:r>
          </w:p>
        </w:tc>
        <w:tc>
          <w:tcPr>
            <w:tcW w:w="1637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300,0</w:t>
            </w:r>
          </w:p>
        </w:tc>
        <w:tc>
          <w:tcPr>
            <w:tcW w:w="2438" w:type="dxa"/>
            <w:tcBorders/>
          </w:tcPr>
          <w:p>
            <w:pPr>
              <w:pStyle w:val="Normal"/>
              <w:widowControl w:val="false"/>
              <w:bidi w:val="0"/>
              <w:spacing w:lineRule="auto" w:line="240" w:before="0" w:after="200"/>
              <w:jc w:val="center"/>
              <w:rPr>
                <w:rFonts w:ascii="Times New Roman" w:hAnsi="Times New Roman"/>
                <w:b w:val="false"/>
                <w:bCs w:val="false"/>
                <w:sz w:val="20"/>
                <w:szCs w:val="20"/>
                <w:highlight w:val="none"/>
                <w:u w:val="none"/>
                <w:shd w:fill="auto" w:val="clear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color w:val="000000"/>
                <w:sz w:val="20"/>
                <w:szCs w:val="20"/>
                <w:u w:val="none"/>
                <w:shd w:fill="auto" w:val="clear"/>
                <w:lang w:val="ru-RU" w:eastAsia="zh-CN" w:bidi="ar-SA"/>
              </w:rPr>
              <w:t>300,0</w:t>
            </w:r>
          </w:p>
        </w:tc>
      </w:tr>
    </w:tbl>
    <w:p>
      <w:pPr>
        <w:pStyle w:val="Normal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</w:p>
    <w:p>
      <w:pPr>
        <w:pStyle w:val="Normal"/>
        <w:widowControl w:val="false"/>
        <w:spacing w:lineRule="auto" w:line="240" w:before="0" w:after="0"/>
        <w:ind w:firstLine="567"/>
        <w:jc w:val="center"/>
        <w:rPr/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5. МЕЖБЮДЖЕТНЫЕ ОТНОШЕНИЯ</w:t>
      </w:r>
    </w:p>
    <w:p>
      <w:pPr>
        <w:pStyle w:val="Normal"/>
        <w:widowControl w:val="false"/>
        <w:spacing w:lineRule="auto" w:line="240" w:before="0" w:after="0"/>
        <w:ind w:firstLine="567"/>
        <w:jc w:val="center"/>
        <w:rPr/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5.1. Межбюджетные трансферты, планируемые к получению из областного бюджета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567"/>
        <w:jc w:val="both"/>
        <w:outlineLvl w:val="1"/>
        <w:rPr>
          <w:rFonts w:ascii="Times New Roman" w:hAnsi="Times New Roman" w:eastAsia="Times New Roman"/>
          <w:sz w:val="28"/>
          <w:szCs w:val="28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ab/>
        <w:t>В</w:t>
      </w:r>
      <w:r>
        <w:rPr>
          <w:rFonts w:eastAsia="Times New Roman" w:ascii="Times New Roman" w:hAnsi="Times New Roman"/>
          <w:sz w:val="28"/>
          <w:szCs w:val="28"/>
        </w:rPr>
        <w:t xml:space="preserve"> составе доходов местного бюджета на 2023 год учтены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межбюджетные трансферты, предоставляемые из областного бюджета </w:t>
      </w:r>
      <w:r>
        <w:rPr>
          <w:rFonts w:eastAsia="Times New Roman" w:ascii="Times New Roman" w:hAnsi="Times New Roman"/>
          <w:sz w:val="28"/>
          <w:szCs w:val="28"/>
        </w:rPr>
        <w:t xml:space="preserve">в сумме </w:t>
      </w:r>
      <w:r>
        <w:rPr>
          <w:rFonts w:eastAsia="Times New Roman" w:ascii="Times New Roman" w:hAnsi="Times New Roman"/>
          <w:b/>
          <w:sz w:val="28"/>
          <w:szCs w:val="28"/>
        </w:rPr>
        <w:t>188 153,8</w:t>
      </w:r>
      <w:r>
        <w:rPr>
          <w:rFonts w:eastAsia="Times New Roman" w:ascii="Times New Roman" w:hAnsi="Times New Roman"/>
          <w:sz w:val="28"/>
          <w:szCs w:val="28"/>
        </w:rPr>
        <w:t xml:space="preserve"> тыс. рублей. 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 Законом Орловской области об областном бюджете на 2023 год и на плановый период 2024 и 2025 годов Малоархангельскому району на 2023 год предусматриваются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межбюджетные трансферты в виде</w:t>
      </w:r>
      <w:r>
        <w:rPr>
          <w:rFonts w:ascii="Times New Roman" w:hAnsi="Times New Roman"/>
          <w:sz w:val="28"/>
          <w:szCs w:val="28"/>
        </w:rPr>
        <w:t xml:space="preserve"> дотаций, субсидий, субвенций и межбюджетных трансфертов.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Дотация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 выравнивание бюджетной обеспеченности</w:t>
      </w:r>
      <w:r>
        <w:rPr>
          <w:rFonts w:ascii="Times New Roman" w:hAnsi="Times New Roman"/>
          <w:sz w:val="28"/>
          <w:szCs w:val="28"/>
        </w:rPr>
        <w:t xml:space="preserve"> Малоархангельскому району на 2023 год запланирована в сумме </w:t>
      </w:r>
      <w:r>
        <w:rPr>
          <w:rFonts w:ascii="Times New Roman" w:hAnsi="Times New Roman"/>
          <w:b/>
          <w:sz w:val="28"/>
          <w:szCs w:val="28"/>
        </w:rPr>
        <w:t xml:space="preserve"> 20 747,0</w:t>
      </w:r>
      <w:r>
        <w:rPr>
          <w:rFonts w:ascii="Times New Roman" w:hAnsi="Times New Roman"/>
          <w:sz w:val="28"/>
          <w:szCs w:val="28"/>
        </w:rPr>
        <w:t xml:space="preserve"> тыс. рублей. По сравнению с первоначальным планом 2023 года объем дотации на выравнивание бюджетной обеспеченности выше на </w:t>
      </w:r>
      <w:r>
        <w:rPr>
          <w:rFonts w:ascii="Times New Roman" w:hAnsi="Times New Roman"/>
          <w:b/>
          <w:bCs/>
          <w:sz w:val="28"/>
          <w:szCs w:val="28"/>
        </w:rPr>
        <w:t>7 589,0</w:t>
      </w:r>
      <w:r>
        <w:rPr>
          <w:rFonts w:ascii="Times New Roman" w:hAnsi="Times New Roman"/>
          <w:sz w:val="28"/>
          <w:szCs w:val="28"/>
        </w:rPr>
        <w:t xml:space="preserve"> тыс. рублей, и на </w:t>
      </w:r>
      <w:r>
        <w:rPr>
          <w:rFonts w:ascii="Times New Roman" w:hAnsi="Times New Roman"/>
          <w:b/>
          <w:bCs/>
          <w:sz w:val="28"/>
          <w:szCs w:val="28"/>
        </w:rPr>
        <w:t>10 699,0</w:t>
      </w:r>
      <w:r>
        <w:rPr>
          <w:rFonts w:ascii="Times New Roman" w:hAnsi="Times New Roman"/>
          <w:sz w:val="28"/>
          <w:szCs w:val="28"/>
        </w:rPr>
        <w:t xml:space="preserve"> тыс. рублей выше первоначального плана 2021 года.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2024 год дотация из областного бюджета предусматривается в сумме </w:t>
      </w:r>
      <w:r>
        <w:rPr>
          <w:rFonts w:ascii="Times New Roman" w:hAnsi="Times New Roman"/>
          <w:b/>
          <w:sz w:val="28"/>
          <w:szCs w:val="28"/>
        </w:rPr>
        <w:t>15 414,0</w:t>
      </w:r>
      <w:r>
        <w:rPr>
          <w:rFonts w:ascii="Times New Roman" w:hAnsi="Times New Roman"/>
          <w:sz w:val="28"/>
          <w:szCs w:val="28"/>
        </w:rPr>
        <w:t xml:space="preserve"> тыс. рублей, на 2025 год – </w:t>
      </w:r>
      <w:r>
        <w:rPr>
          <w:rFonts w:ascii="Times New Roman" w:hAnsi="Times New Roman"/>
          <w:b/>
          <w:sz w:val="28"/>
          <w:szCs w:val="28"/>
        </w:rPr>
        <w:t>7 888,0</w:t>
      </w:r>
      <w:r>
        <w:rPr>
          <w:rFonts w:ascii="Times New Roman" w:hAnsi="Times New Roman"/>
          <w:sz w:val="28"/>
          <w:szCs w:val="28"/>
        </w:rPr>
        <w:t xml:space="preserve"> тыс. рублей. </w:t>
      </w:r>
    </w:p>
    <w:p>
      <w:pPr>
        <w:pStyle w:val="Style21"/>
        <w:spacing w:before="0" w:after="0"/>
        <w:ind w:right="-2" w:firstLine="567"/>
        <w:contextualSpacing/>
        <w:rPr>
          <w:rFonts w:eastAsia="Calibri"/>
          <w:szCs w:val="28"/>
        </w:rPr>
      </w:pPr>
      <w:r>
        <w:rPr>
          <w:rFonts w:eastAsia="Calibri"/>
          <w:b/>
          <w:szCs w:val="28"/>
        </w:rPr>
        <w:t>Субсидии</w:t>
      </w:r>
      <w:r>
        <w:rPr>
          <w:rFonts w:eastAsia="Calibri"/>
          <w:szCs w:val="28"/>
        </w:rPr>
        <w:t xml:space="preserve"> бюджету </w:t>
      </w:r>
      <w:r>
        <w:rPr>
          <w:rFonts w:eastAsia="Calibri"/>
          <w:sz w:val="28"/>
          <w:szCs w:val="28"/>
        </w:rPr>
        <w:t>Малоархангельскому</w:t>
      </w:r>
      <w:r>
        <w:rPr>
          <w:rFonts w:eastAsia="Calibri"/>
          <w:szCs w:val="28"/>
        </w:rPr>
        <w:t xml:space="preserve"> района из областного бюджета на 2023 год предусмотрены в сумме </w:t>
      </w:r>
      <w:r>
        <w:rPr>
          <w:rFonts w:eastAsia="Calibri"/>
          <w:b/>
          <w:szCs w:val="28"/>
        </w:rPr>
        <w:t>58 974,8</w:t>
      </w:r>
      <w:r>
        <w:rPr>
          <w:rFonts w:eastAsia="Calibri"/>
          <w:szCs w:val="28"/>
        </w:rPr>
        <w:t xml:space="preserve"> тыс. рублей.</w:t>
      </w:r>
      <w:r>
        <w:rPr>
          <w:szCs w:val="28"/>
        </w:rPr>
        <w:t xml:space="preserve"> </w:t>
      </w:r>
    </w:p>
    <w:p>
      <w:pPr>
        <w:pStyle w:val="Normal"/>
        <w:spacing w:lineRule="auto" w:line="240" w:before="0" w:after="0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Субвенции</w:t>
      </w:r>
      <w:r>
        <w:rPr>
          <w:rFonts w:ascii="Times New Roman" w:hAnsi="Times New Roman"/>
          <w:sz w:val="28"/>
          <w:szCs w:val="28"/>
        </w:rPr>
        <w:t xml:space="preserve"> на реализацию государственных полномочий запланированы  бюджету Малоархангельского района на 2023 год в размере </w:t>
      </w:r>
      <w:r>
        <w:rPr>
          <w:rFonts w:ascii="Times New Roman" w:hAnsi="Times New Roman"/>
          <w:b/>
          <w:bCs/>
          <w:sz w:val="28"/>
          <w:szCs w:val="28"/>
        </w:rPr>
        <w:t>100 317,0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рублей, увеличение объема субвенций по сравнению с первоначальными показателями 2022 года составит </w:t>
      </w:r>
      <w:r>
        <w:rPr>
          <w:rFonts w:ascii="Times New Roman" w:hAnsi="Times New Roman"/>
          <w:b/>
          <w:bCs/>
          <w:sz w:val="28"/>
          <w:szCs w:val="28"/>
        </w:rPr>
        <w:t>7 580,8</w:t>
      </w:r>
      <w:r>
        <w:rPr>
          <w:rFonts w:ascii="Times New Roman" w:hAnsi="Times New Roman"/>
          <w:sz w:val="28"/>
          <w:szCs w:val="28"/>
        </w:rPr>
        <w:t xml:space="preserve"> тыс. рублей, по сравнению с первоначальным планом на 2022 год.</w:t>
      </w:r>
    </w:p>
    <w:p>
      <w:pPr>
        <w:pStyle w:val="Normal"/>
        <w:spacing w:lineRule="auto" w:line="240" w:before="0" w:after="0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Межбюджетные трансферты</w:t>
      </w:r>
      <w:r>
        <w:rPr>
          <w:rFonts w:ascii="Times New Roman" w:hAnsi="Times New Roman"/>
          <w:sz w:val="28"/>
          <w:szCs w:val="28"/>
        </w:rPr>
        <w:t xml:space="preserve"> бюджету Малоархангельского района из областного бюджета на 2023 год предусмотрены в сумме</w:t>
      </w:r>
      <w:r>
        <w:rPr>
          <w:rFonts w:ascii="Times New Roman" w:hAnsi="Times New Roman"/>
          <w:b/>
          <w:bCs/>
          <w:sz w:val="28"/>
          <w:szCs w:val="28"/>
        </w:rPr>
        <w:t xml:space="preserve"> 8 115,0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рублей</w:t>
      </w:r>
      <w:r>
        <w:rPr>
          <w:rFonts w:cs="Times New Roman" w:ascii="Times New Roman" w:hAnsi="Times New Roman"/>
          <w:sz w:val="28"/>
          <w:szCs w:val="28"/>
        </w:rPr>
        <w:t>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567"/>
        <w:jc w:val="center"/>
        <w:outlineLvl w:val="1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5.2. Межбюджетные трансферты, направляемые в иные бюджеты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2023 году бюджетам поселений Малоархангельского района межбюджетные трансферты будут предоставляться в форме: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дотаций на выравнивание уровня бюджетной обеспеченности поселений из районного фонда финансовой поддержки в размере </w:t>
      </w:r>
      <w:r>
        <w:rPr>
          <w:rFonts w:ascii="Times New Roman" w:hAnsi="Times New Roman"/>
          <w:b/>
          <w:sz w:val="28"/>
          <w:szCs w:val="28"/>
        </w:rPr>
        <w:t>500,0</w:t>
      </w:r>
      <w:r>
        <w:rPr>
          <w:rFonts w:ascii="Times New Roman" w:hAnsi="Times New Roman"/>
          <w:sz w:val="28"/>
          <w:szCs w:val="28"/>
        </w:rPr>
        <w:t xml:space="preserve"> тыс. рублей;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дотаций 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 и предоставлению дотаций поселениям в размере </w:t>
      </w:r>
      <w:r>
        <w:rPr>
          <w:rFonts w:ascii="Times New Roman" w:hAnsi="Times New Roman"/>
          <w:b/>
          <w:sz w:val="28"/>
          <w:szCs w:val="28"/>
        </w:rPr>
        <w:t>3 979,3</w:t>
      </w:r>
      <w:r>
        <w:rPr>
          <w:rFonts w:ascii="Times New Roman" w:hAnsi="Times New Roman"/>
          <w:sz w:val="28"/>
          <w:szCs w:val="28"/>
        </w:rPr>
        <w:t xml:space="preserve"> тыс. рублей.</w:t>
      </w:r>
    </w:p>
    <w:p>
      <w:pPr>
        <w:pStyle w:val="Normal"/>
        <w:widowControl w:val="false"/>
        <w:spacing w:lineRule="auto" w:line="240" w:before="0" w:after="0"/>
        <w:jc w:val="center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5.3. Уровень долговой нагрузки на бюджет</w:t>
      </w:r>
    </w:p>
    <w:p>
      <w:pPr>
        <w:pStyle w:val="Normal"/>
        <w:widowControl w:val="false"/>
        <w:spacing w:lineRule="auto" w:line="240" w:before="0" w:after="0"/>
        <w:ind w:firstLine="567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Муниципальный долг Малоархангельскому района включает в себя бюджетные кредиты, кредиты от коммерческих банков. Структура муниципального долга Малоархангельского района представлена в таблице 7. В 2023 году основная доля в структуре муниципального долга Малоархангельского района будет приходиться на бюджетные и коммерческие кредиты.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lang w:eastAsia="ru-RU"/>
        </w:rPr>
      </w:pPr>
      <w:r>
        <w:rPr>
          <w:rFonts w:eastAsia="Times New Roman" w:ascii="Times New Roman" w:hAnsi="Times New Roman"/>
          <w:lang w:eastAsia="ru-RU"/>
        </w:rPr>
        <w:t xml:space="preserve">       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lang w:eastAsia="ru-RU"/>
        </w:rPr>
        <w:t xml:space="preserve">  </w:t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</w:r>
    </w:p>
    <w:p>
      <w:pPr>
        <w:pStyle w:val="Normal"/>
        <w:widowControl w:val="false"/>
        <w:spacing w:lineRule="auto" w:line="240" w:before="0" w:after="0"/>
        <w:jc w:val="right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lang w:eastAsia="ru-RU"/>
        </w:rPr>
        <w:t xml:space="preserve"> </w:t>
      </w:r>
      <w:r>
        <w:rPr>
          <w:rFonts w:eastAsia="Times New Roman" w:ascii="Times New Roman" w:hAnsi="Times New Roman"/>
          <w:lang w:eastAsia="ru-RU"/>
        </w:rPr>
        <w:t>Таблица 7</w:t>
      </w:r>
    </w:p>
    <w:tbl>
      <w:tblPr>
        <w:tblW w:w="14063" w:type="dxa"/>
        <w:jc w:val="left"/>
        <w:tblInd w:w="34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988"/>
        <w:gridCol w:w="1862"/>
        <w:gridCol w:w="2100"/>
        <w:gridCol w:w="2388"/>
        <w:gridCol w:w="2662"/>
        <w:gridCol w:w="3063"/>
      </w:tblGrid>
      <w:tr>
        <w:trPr>
          <w:trHeight w:val="681" w:hRule="atLeast"/>
        </w:trPr>
        <w:tc>
          <w:tcPr>
            <w:tcW w:w="1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Вид долгового обязательства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На 01.01.2021 г.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На 01.01.2022 г.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На 01.01.2023 г.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26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На 01.01.2024 г.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30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На 01.01.2025 г.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</w:tr>
      <w:tr>
        <w:trPr>
          <w:trHeight w:val="349" w:hRule="atLeast"/>
        </w:trPr>
        <w:tc>
          <w:tcPr>
            <w:tcW w:w="198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2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26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  <w:tc>
          <w:tcPr>
            <w:tcW w:w="3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19"/>
                <w:szCs w:val="19"/>
                <w:lang w:eastAsia="ru-RU"/>
              </w:rPr>
              <w:t>Сумма, тыс. рублей</w:t>
            </w:r>
          </w:p>
        </w:tc>
      </w:tr>
      <w:tr>
        <w:trPr>
          <w:trHeight w:val="1043" w:hRule="atLeast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Бюджетные кредиты из областного бюджета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</w:r>
          </w:p>
        </w:tc>
        <w:tc>
          <w:tcPr>
            <w:tcW w:w="23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26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30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3 000,0</w:t>
            </w:r>
          </w:p>
        </w:tc>
      </w:tr>
      <w:tr>
        <w:trPr>
          <w:trHeight w:val="635" w:hRule="atLeast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Банковские кредиты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3 800,0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23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26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</w:r>
          </w:p>
        </w:tc>
        <w:tc>
          <w:tcPr>
            <w:tcW w:w="30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color w:val="000000"/>
                <w:sz w:val="19"/>
                <w:szCs w:val="19"/>
                <w:lang w:eastAsia="ru-RU"/>
              </w:rPr>
            </w:r>
          </w:p>
        </w:tc>
      </w:tr>
      <w:tr>
        <w:trPr>
          <w:trHeight w:val="349" w:hRule="atLeast"/>
        </w:trPr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Всего:</w:t>
            </w:r>
          </w:p>
        </w:tc>
        <w:tc>
          <w:tcPr>
            <w:tcW w:w="18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3 800,0</w:t>
            </w:r>
          </w:p>
        </w:tc>
        <w:tc>
          <w:tcPr>
            <w:tcW w:w="21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238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6 000,0</w:t>
            </w:r>
          </w:p>
        </w:tc>
        <w:tc>
          <w:tcPr>
            <w:tcW w:w="266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3 000,0</w:t>
            </w:r>
          </w:p>
        </w:tc>
        <w:tc>
          <w:tcPr>
            <w:tcW w:w="306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Cs/>
                <w:color w:val="000000"/>
                <w:sz w:val="19"/>
                <w:szCs w:val="19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19"/>
                <w:szCs w:val="19"/>
                <w:lang w:eastAsia="ru-RU"/>
              </w:rPr>
              <w:t>3 000,0</w:t>
            </w:r>
          </w:p>
        </w:tc>
      </w:tr>
    </w:tbl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ab/>
        <w:t>Разработчиком информационно-аналитического материала «Открытый бюджет для граждан – бюджет Малоархангельского района Орловской области на 2023 год и плановый период 2024 и 2025 годов» является финансовый отдел администрации Малоархангельского района.</w:t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ab/>
      </w:r>
    </w:p>
    <w:p>
      <w:pPr>
        <w:pStyle w:val="Normal"/>
        <w:widowControl w:val="false"/>
        <w:spacing w:lineRule="auto" w:line="240"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Контактная информация для граждан: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финансового отдела: Внукова Юлия Владимировна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303370 Орловская область, Малоархангельский район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г.Малоархангельск, ул. К-Маркса д.78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тел.8(48679) 2-30-91, 2-38-41</w:t>
      </w:r>
    </w:p>
    <w:p>
      <w:pPr>
        <w:pStyle w:val="Normal"/>
        <w:spacing w:lineRule="auto" w:line="240" w:before="0" w:after="86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Режим работы: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Понедельник-пятница с 9 час. 00 мин. до 18 час.00мин.</w:t>
      </w:r>
    </w:p>
    <w:p>
      <w:pPr>
        <w:pStyle w:val="Normal"/>
        <w:spacing w:lineRule="auto" w:line="240" w:before="0" w:after="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Суббота, воскресенье – выходной</w:t>
      </w:r>
    </w:p>
    <w:sectPr>
      <w:footerReference w:type="default" r:id="rId12"/>
      <w:footerReference w:type="first" r:id="rId13"/>
      <w:type w:val="nextPage"/>
      <w:pgSz w:orient="landscape" w:w="16838" w:h="11906"/>
      <w:pgMar w:left="709" w:right="567" w:gutter="0" w:header="0" w:top="993" w:footer="0" w:bottom="28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Courier New">
    <w:charset w:val="cc"/>
    <w:family w:val="roman"/>
    <w:pitch w:val="variable"/>
  </w:font>
  <w:font w:name="Comic Sans MS">
    <w:charset w:val="cc"/>
    <w:family w:val="roman"/>
    <w:pitch w:val="variable"/>
  </w:font>
  <w:font w:name="Verdana">
    <w:charset w:val="cc"/>
    <w:family w:val="roman"/>
    <w:pitch w:val="variable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9"/>
      <w:jc w:val="center"/>
      <w:rPr/>
    </w:pPr>
    <w:r>
      <w:rPr/>
    </w:r>
  </w:p>
  <w:p>
    <w:pPr>
      <w:pStyle w:val="Style29"/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widowControl/>
      <w:suppressAutoHyphens w:val="true"/>
      <w:bidi w:val="0"/>
      <w:spacing w:lineRule="auto" w:line="276" w:before="0" w:after="200"/>
      <w:jc w:val="lef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9"/>
      <w:jc w:val="center"/>
      <w:rPr/>
    </w:pPr>
    <w:r>
      <w:rPr/>
    </w:r>
  </w:p>
  <w:p>
    <w:pPr>
      <w:pStyle w:val="Style29"/>
      <w:spacing w:before="0" w:after="200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Indent 3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47d5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next w:val="Normal"/>
    <w:link w:val="11"/>
    <w:uiPriority w:val="99"/>
    <w:qFormat/>
    <w:rsid w:val="00c061d1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c061d1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B83D68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Текст выноски Знак"/>
    <w:basedOn w:val="DefaultParagraphFont"/>
    <w:link w:val="BalloonText"/>
    <w:uiPriority w:val="99"/>
    <w:semiHidden/>
    <w:qFormat/>
    <w:rsid w:val="00c061d1"/>
    <w:rPr>
      <w:rFonts w:ascii="Tahoma" w:hAnsi="Tahoma" w:cs="Tahoma"/>
      <w:sz w:val="16"/>
      <w:szCs w:val="16"/>
    </w:rPr>
  </w:style>
  <w:style w:type="character" w:styleId="21" w:customStyle="1">
    <w:name w:val="Заголовок 2 Знак"/>
    <w:basedOn w:val="DefaultParagraphFont"/>
    <w:uiPriority w:val="9"/>
    <w:qFormat/>
    <w:rsid w:val="00c061d1"/>
    <w:rPr>
      <w:rFonts w:ascii="Cambria" w:hAnsi="Cambria" w:eastAsia="" w:cs="" w:asciiTheme="majorHAnsi" w:cstheme="majorBidi" w:eastAsiaTheme="majorEastAsia" w:hAnsiTheme="majorHAnsi"/>
      <w:b/>
      <w:bCs/>
      <w:color w:val="B83D68" w:themeColor="accent1"/>
      <w:sz w:val="26"/>
      <w:szCs w:val="26"/>
    </w:rPr>
  </w:style>
  <w:style w:type="character" w:styleId="11" w:customStyle="1">
    <w:name w:val="Заголовок 1 Знак"/>
    <w:basedOn w:val="DefaultParagraphFont"/>
    <w:uiPriority w:val="99"/>
    <w:qFormat/>
    <w:rsid w:val="00c061d1"/>
    <w:rPr>
      <w:rFonts w:ascii="Cambria" w:hAnsi="Cambria" w:eastAsia="" w:cs="" w:asciiTheme="majorHAnsi" w:cstheme="majorBidi" w:eastAsiaTheme="majorEastAsia" w:hAnsiTheme="majorHAnsi"/>
      <w:b/>
      <w:bCs/>
      <w:color w:val="892D4D" w:themeColor="accent1" w:themeShade="bf"/>
      <w:sz w:val="28"/>
      <w:szCs w:val="28"/>
    </w:rPr>
  </w:style>
  <w:style w:type="character" w:styleId="Strong">
    <w:name w:val="Strong"/>
    <w:uiPriority w:val="22"/>
    <w:qFormat/>
    <w:rsid w:val="00e06434"/>
    <w:rPr>
      <w:b/>
      <w:bCs/>
    </w:rPr>
  </w:style>
  <w:style w:type="character" w:styleId="Style13" w:customStyle="1">
    <w:name w:val="Без интервала Знак"/>
    <w:link w:val="NoSpacing"/>
    <w:uiPriority w:val="1"/>
    <w:qFormat/>
    <w:rsid w:val="00e06434"/>
    <w:rPr>
      <w:rFonts w:ascii="Calibri" w:hAnsi="Calibri" w:eastAsia="Calibri" w:cs="Times New Roman"/>
    </w:rPr>
  </w:style>
  <w:style w:type="character" w:styleId="Style14" w:customStyle="1">
    <w:name w:val="Название Знак"/>
    <w:basedOn w:val="DefaultParagraphFont"/>
    <w:uiPriority w:val="10"/>
    <w:qFormat/>
    <w:rsid w:val="00e06434"/>
    <w:rPr>
      <w:rFonts w:ascii="Cambria" w:hAnsi="Cambria" w:eastAsia="Times New Roman" w:cs="Times New Roman"/>
      <w:color w:val="17365D"/>
      <w:spacing w:val="5"/>
      <w:kern w:val="2"/>
      <w:sz w:val="52"/>
      <w:szCs w:val="52"/>
    </w:rPr>
  </w:style>
  <w:style w:type="character" w:styleId="Style15" w:customStyle="1">
    <w:name w:val="Подзаголовок Знак"/>
    <w:basedOn w:val="DefaultParagraphFont"/>
    <w:uiPriority w:val="11"/>
    <w:qFormat/>
    <w:rsid w:val="00e06434"/>
    <w:rPr>
      <w:rFonts w:ascii="Cambria" w:hAnsi="Cambria" w:eastAsia="Times New Roman" w:cs="Times New Roman"/>
      <w:i/>
      <w:iCs/>
      <w:color w:val="4F81BD"/>
      <w:spacing w:val="15"/>
      <w:sz w:val="24"/>
      <w:szCs w:val="24"/>
    </w:rPr>
  </w:style>
  <w:style w:type="character" w:styleId="-">
    <w:name w:val="Hyperlink"/>
    <w:uiPriority w:val="99"/>
    <w:unhideWhenUsed/>
    <w:rsid w:val="00e06434"/>
    <w:rPr>
      <w:color w:val="0000FF"/>
      <w:u w:val="single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e06434"/>
    <w:rPr>
      <w:rFonts w:ascii="Calibri" w:hAnsi="Calibri" w:eastAsia="Calibri" w:cs="Times New Roman"/>
    </w:rPr>
  </w:style>
  <w:style w:type="character" w:styleId="Style17" w:customStyle="1">
    <w:name w:val="Нижний колонтитул Знак"/>
    <w:basedOn w:val="DefaultParagraphFont"/>
    <w:uiPriority w:val="99"/>
    <w:qFormat/>
    <w:rsid w:val="00e06434"/>
    <w:rPr>
      <w:rFonts w:ascii="Calibri" w:hAnsi="Calibri" w:eastAsia="Calibri" w:cs="Times New Roman"/>
    </w:rPr>
  </w:style>
  <w:style w:type="character" w:styleId="Style18" w:customStyle="1">
    <w:name w:val="Основной текст Знак"/>
    <w:basedOn w:val="DefaultParagraphFont"/>
    <w:qFormat/>
    <w:rsid w:val="00e06434"/>
    <w:rPr>
      <w:rFonts w:ascii="Times New Roman" w:hAnsi="Times New Roman" w:eastAsia="Times New Roman" w:cs="Times New Roman"/>
      <w:sz w:val="28"/>
      <w:szCs w:val="24"/>
    </w:rPr>
  </w:style>
  <w:style w:type="character" w:styleId="3" w:customStyle="1">
    <w:name w:val="Основной текст с отступом 3 Знак"/>
    <w:basedOn w:val="DefaultParagraphFont"/>
    <w:link w:val="BodyTextIndent3"/>
    <w:semiHidden/>
    <w:qFormat/>
    <w:rsid w:val="00e06434"/>
    <w:rPr>
      <w:rFonts w:ascii="Times New Roman" w:hAnsi="Times New Roman" w:eastAsia="Times New Roman" w:cs="Times New Roman"/>
      <w:sz w:val="16"/>
      <w:szCs w:val="16"/>
    </w:rPr>
  </w:style>
  <w:style w:type="character" w:styleId="Style19" w:customStyle="1">
    <w:name w:val="Основной текст_"/>
    <w:link w:val="12"/>
    <w:qFormat/>
    <w:locked/>
    <w:rsid w:val="00e06434"/>
    <w:rPr>
      <w:sz w:val="27"/>
      <w:shd w:fill="FFFFFF" w:val="clear"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link w:val="Style18"/>
    <w:rsid w:val="00e06434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8"/>
      <w:szCs w:val="24"/>
    </w:rPr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Style12"/>
    <w:uiPriority w:val="99"/>
    <w:semiHidden/>
    <w:unhideWhenUsed/>
    <w:qFormat/>
    <w:rsid w:val="00c061d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06434"/>
    <w:pPr>
      <w:spacing w:before="0" w:after="200"/>
      <w:ind w:left="720" w:hanging="0"/>
      <w:contextualSpacing/>
    </w:pPr>
    <w:rPr>
      <w:rFonts w:ascii="Calibri" w:hAnsi="Calibri" w:eastAsia="Calibri" w:cs="Times New Roman"/>
    </w:rPr>
  </w:style>
  <w:style w:type="paragraph" w:styleId="NoSpacing">
    <w:name w:val="No Spacing"/>
    <w:link w:val="Style13"/>
    <w:uiPriority w:val="1"/>
    <w:qFormat/>
    <w:rsid w:val="00e06434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NormalWeb">
    <w:name w:val="Normal (Web)"/>
    <w:basedOn w:val="Normal"/>
    <w:uiPriority w:val="99"/>
    <w:unhideWhenUsed/>
    <w:qFormat/>
    <w:rsid w:val="00e06434"/>
    <w:pPr>
      <w:spacing w:lineRule="auto" w:line="240" w:before="120" w:after="12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>
    <w:name w:val="Title"/>
    <w:basedOn w:val="Normal"/>
    <w:next w:val="Normal"/>
    <w:link w:val="Style14"/>
    <w:uiPriority w:val="10"/>
    <w:qFormat/>
    <w:rsid w:val="00e06434"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 w:eastAsia="Times New Roman" w:cs="Times New Roman"/>
      <w:color w:val="17365D"/>
      <w:spacing w:val="5"/>
      <w:kern w:val="2"/>
      <w:sz w:val="52"/>
      <w:szCs w:val="52"/>
    </w:rPr>
  </w:style>
  <w:style w:type="paragraph" w:styleId="Style26">
    <w:name w:val="Subtitle"/>
    <w:basedOn w:val="Normal"/>
    <w:next w:val="Normal"/>
    <w:link w:val="Style15"/>
    <w:uiPriority w:val="11"/>
    <w:qFormat/>
    <w:rsid w:val="00e06434"/>
    <w:pPr/>
    <w:rPr>
      <w:rFonts w:ascii="Cambria" w:hAnsi="Cambria" w:eastAsia="Times New Roman" w:cs="Times New Roman"/>
      <w:i/>
      <w:iCs/>
      <w:color w:val="4F81BD"/>
      <w:spacing w:val="15"/>
      <w:sz w:val="24"/>
      <w:szCs w:val="24"/>
    </w:rPr>
  </w:style>
  <w:style w:type="paragraph" w:styleId="Style27">
    <w:name w:val="Колонтитул"/>
    <w:basedOn w:val="Normal"/>
    <w:qFormat/>
    <w:pPr/>
    <w:rPr/>
  </w:style>
  <w:style w:type="paragraph" w:styleId="Style28">
    <w:name w:val="Header"/>
    <w:basedOn w:val="Normal"/>
    <w:link w:val="Style16"/>
    <w:uiPriority w:val="99"/>
    <w:unhideWhenUsed/>
    <w:rsid w:val="00e06434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29">
    <w:name w:val="Footer"/>
    <w:basedOn w:val="Normal"/>
    <w:link w:val="Style17"/>
    <w:uiPriority w:val="99"/>
    <w:unhideWhenUsed/>
    <w:rsid w:val="00e06434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 w:cs="Times New Roman"/>
    </w:rPr>
  </w:style>
  <w:style w:type="paragraph" w:styleId="Style30" w:customStyle="1">
    <w:name w:val="Нормальный (таблица)"/>
    <w:basedOn w:val="Normal"/>
    <w:next w:val="Normal"/>
    <w:uiPriority w:val="99"/>
    <w:qFormat/>
    <w:rsid w:val="00e06434"/>
    <w:pPr>
      <w:widowControl w:val="false"/>
      <w:spacing w:lineRule="auto" w:line="240" w:before="0" w:after="0"/>
      <w:jc w:val="both"/>
    </w:pPr>
    <w:rPr>
      <w:rFonts w:ascii="Arial" w:hAnsi="Arial" w:eastAsia="Times New Roman" w:cs="Arial"/>
      <w:sz w:val="24"/>
      <w:szCs w:val="24"/>
      <w:lang w:eastAsia="ru-RU"/>
    </w:rPr>
  </w:style>
  <w:style w:type="paragraph" w:styleId="Style31" w:customStyle="1">
    <w:name w:val="Прижатый влево"/>
    <w:basedOn w:val="Normal"/>
    <w:next w:val="Normal"/>
    <w:uiPriority w:val="99"/>
    <w:qFormat/>
    <w:rsid w:val="00e06434"/>
    <w:pPr>
      <w:widowControl w:val="false"/>
      <w:spacing w:lineRule="auto" w:line="240" w:before="0" w:after="0"/>
    </w:pPr>
    <w:rPr>
      <w:rFonts w:ascii="Arial" w:hAnsi="Arial" w:eastAsia="Times New Roman" w:cs="Arial"/>
      <w:sz w:val="24"/>
      <w:szCs w:val="24"/>
      <w:lang w:eastAsia="ru-RU"/>
    </w:rPr>
  </w:style>
  <w:style w:type="paragraph" w:styleId="Style32" w:customStyle="1">
    <w:name w:val="Текст документа"/>
    <w:basedOn w:val="Normal"/>
    <w:qFormat/>
    <w:rsid w:val="00e06434"/>
    <w:pPr>
      <w:overflowPunct w:val="false"/>
      <w:spacing w:lineRule="auto" w:line="240" w:before="0" w:after="0"/>
      <w:ind w:firstLine="720"/>
      <w:jc w:val="both"/>
      <w:textAlignment w:val="baseline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BodyTextIndent3">
    <w:name w:val="Body Text Indent 3"/>
    <w:basedOn w:val="Normal"/>
    <w:link w:val="3"/>
    <w:semiHidden/>
    <w:unhideWhenUsed/>
    <w:qFormat/>
    <w:rsid w:val="00e06434"/>
    <w:pPr>
      <w:spacing w:lineRule="auto" w:line="240" w:before="0" w:after="120"/>
      <w:ind w:left="283" w:hanging="0"/>
    </w:pPr>
    <w:rPr>
      <w:rFonts w:ascii="Times New Roman" w:hAnsi="Times New Roman" w:eastAsia="Times New Roman" w:cs="Times New Roman"/>
      <w:sz w:val="16"/>
      <w:szCs w:val="16"/>
    </w:rPr>
  </w:style>
  <w:style w:type="paragraph" w:styleId="ConsPlusNormal" w:customStyle="1">
    <w:name w:val="ConsPlusNormal"/>
    <w:qFormat/>
    <w:rsid w:val="00e06434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12" w:customStyle="1">
    <w:name w:val="Основной текст1"/>
    <w:basedOn w:val="Normal"/>
    <w:link w:val="Style19"/>
    <w:qFormat/>
    <w:rsid w:val="00e06434"/>
    <w:pPr>
      <w:shd w:val="clear" w:color="auto" w:fill="FFFFFF"/>
      <w:spacing w:lineRule="atLeast" w:line="240" w:before="0" w:after="240"/>
    </w:pPr>
    <w:rPr>
      <w:sz w:val="27"/>
    </w:rPr>
  </w:style>
  <w:style w:type="paragraph" w:styleId="Style33" w:customStyle="1">
    <w:name w:val="Содержимое таблицы"/>
    <w:basedOn w:val="Normal"/>
    <w:qFormat/>
    <w:rsid w:val="00e06434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Arial Unicode MS" w:cs="Mangal"/>
      <w:kern w:val="2"/>
      <w:sz w:val="24"/>
      <w:szCs w:val="24"/>
      <w:lang w:eastAsia="hi-IN" w:bidi="hi-IN"/>
    </w:rPr>
  </w:style>
  <w:style w:type="paragraph" w:styleId="ConsPlusNonformat" w:customStyle="1">
    <w:name w:val="ConsPlusNonformat"/>
    <w:qFormat/>
    <w:rsid w:val="00e06434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Default" w:customStyle="1">
    <w:name w:val="Default"/>
    <w:qFormat/>
    <w:rsid w:val="00612027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Style34">
    <w:name w:val="Заголовок таблицы"/>
    <w:basedOn w:val="Style3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59"/>
    <w:rsid w:val="00e06434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oter" Target="footer1.xml"/><Relationship Id="rId6" Type="http://schemas.openxmlformats.org/officeDocument/2006/relationships/package" Target="embeddings/oleObject1.xlsx"/><Relationship Id="rId7" Type="http://schemas.openxmlformats.org/officeDocument/2006/relationships/image" Target="media/image4.emf"/><Relationship Id="rId8" Type="http://schemas.openxmlformats.org/officeDocument/2006/relationships/chart" Target="charts/chart1.xml"/><Relationship Id="rId9" Type="http://schemas.openxmlformats.org/officeDocument/2006/relationships/chart" Target="charts/chart2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footer" Target="footer5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layout>
        <c:manualLayout>
          <c:layoutTarget val="inner"/>
          <c:xMode val="edge"/>
          <c:yMode val="edge"/>
          <c:x val="0.098125"/>
          <c:y val="0.0145555555555556"/>
          <c:w val="0.88625"/>
          <c:h val="0.7135555555555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999ff"/>
            </a:solidFill>
            <a:ln w="5400">
              <a:solidFill>
                <a:srgbClr val="000000"/>
              </a:solidFill>
              <a:round/>
            </a:ln>
          </c:spPr>
          <c:invertIfNegative val="0"/>
          <c:dLbls>
            <c:txPr>
              <a:bodyPr wrap="square"/>
              <a:lstStyle/>
              <a:p>
                <a:pPr>
                  <a:defRPr b="1" sz="340" spc="-1" strike="noStrike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70172.1</c:v>
                </c:pt>
                <c:pt idx="1">
                  <c:v>997.4</c:v>
                </c:pt>
                <c:pt idx="2">
                  <c:v>1026.3</c:v>
                </c:pt>
                <c:pt idx="3">
                  <c:v>8672.8</c:v>
                </c:pt>
                <c:pt idx="4">
                  <c:v>10653.9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993366"/>
            </a:solidFill>
            <a:ln w="5400">
              <a:solidFill>
                <a:srgbClr val="000000"/>
              </a:solidFill>
              <a:round/>
            </a:ln>
          </c:spPr>
          <c:invertIfNegative val="0"/>
          <c:dLbls>
            <c:txPr>
              <a:bodyPr wrap="square"/>
              <a:lstStyle/>
              <a:p>
                <a:pPr>
                  <a:defRPr b="1" sz="340" spc="-1" strike="noStrike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5"/>
                <c:pt idx="0">
                  <c:v>69221.8</c:v>
                </c:pt>
                <c:pt idx="1">
                  <c:v>36.4</c:v>
                </c:pt>
                <c:pt idx="2">
                  <c:v>1074.9</c:v>
                </c:pt>
                <c:pt idx="3">
                  <c:v>7989.8</c:v>
                </c:pt>
                <c:pt idx="4">
                  <c:v>15499.7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ffcc"/>
            </a:solidFill>
            <a:ln w="5400">
              <a:solidFill>
                <a:srgbClr val="000000"/>
              </a:solidFill>
              <a:round/>
            </a:ln>
          </c:spPr>
          <c:invertIfNegative val="0"/>
          <c:dLbls>
            <c:txPr>
              <a:bodyPr wrap="square"/>
              <a:lstStyle/>
              <a:p>
                <a:pPr>
                  <a:defRPr b="1" sz="340" spc="-1" strike="noStrike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5"/>
                <c:pt idx="0">
                  <c:v>65795</c:v>
                </c:pt>
                <c:pt idx="1">
                  <c:v>0</c:v>
                </c:pt>
                <c:pt idx="2">
                  <c:v>1100</c:v>
                </c:pt>
                <c:pt idx="3">
                  <c:v>10897.1</c:v>
                </c:pt>
                <c:pt idx="4">
                  <c:v>9090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9b639"/>
            </a:solidFill>
            <a:ln w="0">
              <a:noFill/>
            </a:ln>
          </c:spPr>
          <c:invertIfNegative val="0"/>
          <c:dLbls>
            <c:txPr>
              <a:bodyPr wrap="square"/>
              <a:lstStyle/>
              <a:p>
                <a:pPr>
                  <a:defRPr b="1" sz="344" spc="-1" strike="noStrike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5"/>
                <c:pt idx="0">
                  <c:v>68427</c:v>
                </c:pt>
                <c:pt idx="1">
                  <c:v>0</c:v>
                </c:pt>
                <c:pt idx="2">
                  <c:v>1100</c:v>
                </c:pt>
                <c:pt idx="3">
                  <c:v>11507</c:v>
                </c:pt>
                <c:pt idx="4">
                  <c:v>9090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cf6da4"/>
            </a:solidFill>
            <a:ln w="0">
              <a:noFill/>
            </a:ln>
          </c:spPr>
          <c:invertIfNegative val="0"/>
          <c:dLbls>
            <c:txPr>
              <a:bodyPr wrap="square"/>
              <a:lstStyle/>
              <a:p>
                <a:pPr>
                  <a:defRPr b="1" sz="344" spc="-1" strike="noStrike">
                    <a:solidFill>
                      <a:srgbClr val="000000"/>
                    </a:solidFill>
                    <a:latin typeface="Calibri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5"/>
                <c:pt idx="0">
                  <c:v>Налог на доходы физических лиц</c:v>
                </c:pt>
                <c:pt idx="1">
                  <c:v>Единый налог на вмененный доход</c:v>
                </c:pt>
                <c:pt idx="2">
                  <c:v>Государственная пошлина</c:v>
                </c:pt>
                <c:pt idx="3">
                  <c:v>Акцизы на нефтепродукты</c:v>
                </c:pt>
                <c:pt idx="4">
                  <c:v>Прочие налоговые доходы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5"/>
                <c:pt idx="0">
                  <c:v>71319</c:v>
                </c:pt>
                <c:pt idx="1">
                  <c:v>0</c:v>
                </c:pt>
                <c:pt idx="2">
                  <c:v>1100</c:v>
                </c:pt>
                <c:pt idx="3">
                  <c:v>12073.6</c:v>
                </c:pt>
                <c:pt idx="4">
                  <c:v>9090</c:v>
                </c:pt>
              </c:numCache>
            </c:numRef>
          </c:val>
        </c:ser>
        <c:gapWidth val="230"/>
        <c:overlap val="0"/>
        <c:axId val="66851877"/>
        <c:axId val="95824030"/>
      </c:barChart>
      <c:catAx>
        <c:axId val="66851877"/>
        <c:scaling>
          <c:orientation val="minMax"/>
        </c:scaling>
        <c:delete val="0"/>
        <c:axPos val="b"/>
        <c:numFmt formatCode="@" sourceLinked="0"/>
        <c:majorTickMark val="out"/>
        <c:minorTickMark val="none"/>
        <c:tickLblPos val="nextTo"/>
        <c:spPr>
          <a:ln w="1440">
            <a:solidFill>
              <a:srgbClr val="000000"/>
            </a:solidFill>
            <a:round/>
          </a:ln>
        </c:spPr>
        <c:txPr>
          <a:bodyPr rot="-5400000"/>
          <a:lstStyle/>
          <a:p>
            <a:pPr>
              <a:defRPr b="1" sz="1100" spc="-1" strike="noStrike">
                <a:solidFill>
                  <a:srgbClr val="000000"/>
                </a:solidFill>
                <a:latin typeface="Calibri"/>
                <a:ea typeface="Calibri"/>
              </a:defRPr>
            </a:pPr>
          </a:p>
        </c:txPr>
        <c:crossAx val="95824030"/>
        <c:crosses val="autoZero"/>
        <c:auto val="1"/>
        <c:lblAlgn val="ctr"/>
        <c:lblOffset val="100"/>
        <c:noMultiLvlLbl val="0"/>
      </c:catAx>
      <c:valAx>
        <c:axId val="95824030"/>
        <c:scaling>
          <c:orientation val="minMax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ln w="14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0" sz="530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66851877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144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0" sz="530" spc="-1" strike="noStrike">
                <a:solidFill>
                  <a:srgbClr val="000000"/>
                </a:solidFill>
                <a:latin typeface="Times New Roman"/>
                <a:ea typeface="Times New Roman"/>
              </a:defRPr>
            </a:pPr>
          </a:p>
        </c:txPr>
      </c:dTable>
      <c:spPr>
        <a:noFill/>
        <a:ln w="25560">
          <a:noFill/>
        </a:ln>
      </c:spPr>
    </c:plotArea>
    <c:plotVisOnly val="1"/>
    <c:dispBlanksAs val="gap"/>
  </c:chart>
  <c:spPr>
    <a:noFill/>
    <a:ln w="9360"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autoTitleDeleted val="1"/>
    <c:plotArea>
      <c:layout>
        <c:manualLayout>
          <c:layoutTarget val="inner"/>
          <c:xMode val="edge"/>
          <c:yMode val="edge"/>
          <c:x val="0.1323125"/>
          <c:y val="0.385111111111111"/>
          <c:w val="0.8158125"/>
          <c:h val="0.2396666666666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ffcc"/>
            </a:solidFill>
            <a:ln w="9000">
              <a:solidFill>
                <a:srgbClr val="000000"/>
              </a:solidFill>
              <a:round/>
            </a:ln>
          </c:spPr>
          <c:invertIfNegative val="0"/>
          <c:dPt>
            <c:idx val="0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1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2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3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4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5"/>
            <c:invertIfNegative val="0"/>
            <c:spPr>
              <a:solidFill>
                <a:srgbClr val="ffffcc"/>
              </a:solidFill>
              <a:ln w="9000">
                <a:solidFill>
                  <a:srgbClr val="000000"/>
                </a:solidFill>
                <a:round/>
              </a:ln>
            </c:spPr>
          </c:dPt>
          <c:dLbls>
            <c:dLbl>
              <c:idx val="0"/>
              <c:layout>
                <c:manualLayout>
                  <c:x val="-0.00455903632570988"/>
                  <c:y val="-0.00249946896172862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1"/>
              <c:layout>
                <c:manualLayout>
                  <c:x val="-0.00837750173829711"/>
                  <c:y val="-0.0014394433253982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2"/>
              <c:layout>
                <c:manualLayout>
                  <c:x val="-0.00149286828406592"/>
                  <c:y val="0.0062801684673138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3"/>
              <c:layout>
                <c:manualLayout>
                  <c:x val="-0.00646825644417293"/>
                  <c:y val="0.0102635920509936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4"/>
              <c:layout>
                <c:manualLayout>
                  <c:x val="-0.00635198165861726"/>
                  <c:y val="-0.0089929316974913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5"/>
              <c:layout>
                <c:manualLayout>
                  <c:x val="-0.00480980211602441"/>
                  <c:y val="-0.00918835378135871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565" spc="-1" strike="noStrike">
                    <a:solidFill>
                      <a:srgbClr val="000000"/>
                    </a:solidFill>
                    <a:latin typeface="Arial cyr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9911.1</c:v>
                </c:pt>
                <c:pt idx="1">
                  <c:v>120.3</c:v>
                </c:pt>
                <c:pt idx="2">
                  <c:v>0</c:v>
                </c:pt>
                <c:pt idx="3">
                  <c:v>25580.6</c:v>
                </c:pt>
                <c:pt idx="4">
                  <c:v>160.8</c:v>
                </c:pt>
                <c:pt idx="5">
                  <c:v>348.9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ccffff"/>
            </a:solidFill>
            <a:ln w="9000">
              <a:solidFill>
                <a:srgbClr val="000000"/>
              </a:solidFill>
              <a:round/>
            </a:ln>
          </c:spPr>
          <c:invertIfNegative val="0"/>
          <c:dPt>
            <c:idx val="0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1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2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3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4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5"/>
            <c:invertIfNegative val="0"/>
            <c:spPr>
              <a:solidFill>
                <a:srgbClr val="ccffff"/>
              </a:solidFill>
              <a:ln w="9000">
                <a:solidFill>
                  <a:srgbClr val="000000"/>
                </a:solidFill>
                <a:round/>
              </a:ln>
            </c:spPr>
          </c:dPt>
          <c:dLbls>
            <c:dLbl>
              <c:idx val="0"/>
              <c:layout>
                <c:manualLayout>
                  <c:x val="0.0025895927686845"/>
                  <c:y val="-0.00364240981505219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1"/>
              <c:layout>
                <c:manualLayout>
                  <c:x val="-0.00372405239321219"/>
                  <c:y val="-0.00167441860465124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2"/>
              <c:layout>
                <c:manualLayout>
                  <c:x val="0.00477191663691204"/>
                  <c:y val="-0.007886028199963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3"/>
              <c:layout>
                <c:manualLayout>
                  <c:x val="4.78078664987879E-005"/>
                  <c:y val="0.0095115180369895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4"/>
              <c:layout>
                <c:manualLayout>
                  <c:x val="-0.000203258602221263"/>
                  <c:y val="-0.0136991759750961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5"/>
              <c:layout>
                <c:manualLayout>
                  <c:x val="0.000702384755604833"/>
                  <c:y val="-0.00609002014283123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565" spc="-1" strike="noStrike">
                    <a:solidFill>
                      <a:srgbClr val="000000"/>
                    </a:solidFill>
                    <a:latin typeface="Arial cyr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10993.4</c:v>
                </c:pt>
                <c:pt idx="1">
                  <c:v>0</c:v>
                </c:pt>
                <c:pt idx="2">
                  <c:v>14529.9</c:v>
                </c:pt>
                <c:pt idx="3">
                  <c:v>16485.4</c:v>
                </c:pt>
                <c:pt idx="4">
                  <c:v>1104.4</c:v>
                </c:pt>
                <c:pt idx="5">
                  <c:v>1436.7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9999ff"/>
            </a:solidFill>
            <a:ln w="9000">
              <a:solidFill>
                <a:srgbClr val="000000"/>
              </a:solidFill>
              <a:round/>
            </a:ln>
          </c:spPr>
          <c:invertIfNegative val="0"/>
          <c:dPt>
            <c:idx val="0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1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2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3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4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Pt>
            <c:idx val="5"/>
            <c:invertIfNegative val="0"/>
            <c:spPr>
              <a:solidFill>
                <a:srgbClr val="9999ff"/>
              </a:solidFill>
              <a:ln w="9000">
                <a:solidFill>
                  <a:srgbClr val="000000"/>
                </a:solidFill>
                <a:round/>
              </a:ln>
            </c:spPr>
          </c:dPt>
          <c:dLbls>
            <c:dLbl>
              <c:idx val="0"/>
              <c:layout>
                <c:manualLayout>
                  <c:x val="0.00563735374199721"/>
                  <c:y val="-0.0136785094212556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1"/>
              <c:layout>
                <c:manualLayout>
                  <c:x val="0.00579722534683165"/>
                  <c:y val="0.0080738832879535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2"/>
              <c:layout>
                <c:manualLayout>
                  <c:x val="0.00244727353006108"/>
                  <c:y val="-0.00811043513101096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3"/>
              <c:layout>
                <c:manualLayout>
                  <c:x val="0.00760850688056516"/>
                  <c:y val="0.0058888885731578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4"/>
              <c:layout>
                <c:manualLayout>
                  <c:x val="0.00581091086764512"/>
                  <c:y val="0.0027171580296649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5"/>
              <c:layout>
                <c:manualLayout>
                  <c:x val="0.00717478811568602"/>
                  <c:y val="-0.00468573521333089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565" spc="-1" strike="noStrike">
                    <a:solidFill>
                      <a:srgbClr val="000000"/>
                    </a:solidFill>
                    <a:latin typeface="Arial cyr"/>
                    <a:ea typeface="Calibri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6"/>
                <c:pt idx="0">
                  <c:v>11600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120</c:v>
                </c:pt>
                <c:pt idx="5">
                  <c:v>263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ac66bb"/>
            </a:solidFill>
            <a:ln w="0">
              <a:noFill/>
            </a:ln>
          </c:spPr>
          <c:invertIfNegative val="0"/>
          <c:dPt>
            <c:idx val="0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Pt>
            <c:idx val="1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Pt>
            <c:idx val="2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Pt>
            <c:idx val="3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Pt>
            <c:idx val="4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Pt>
            <c:idx val="5"/>
            <c:invertIfNegative val="0"/>
            <c:spPr>
              <a:solidFill>
                <a:srgbClr val="ac66bb"/>
              </a:solidFill>
              <a:ln w="0">
                <a:noFill/>
              </a:ln>
            </c:spPr>
          </c:dPt>
          <c:dLbls>
            <c:dLbl>
              <c:idx val="0"/>
              <c:layout>
                <c:manualLayout>
                  <c:x val="0.0076190476190477"/>
                  <c:y val="-0.00747663551401891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1"/>
              <c:layout>
                <c:manualLayout>
                  <c:x val="0.00190476190476197"/>
                  <c:y val="-0.0186918831407756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2"/>
              <c:layout>
                <c:manualLayout>
                  <c:x val="0.0018691588785047"/>
                  <c:y val="0.0144352219415374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3"/>
              <c:layout>
                <c:manualLayout>
                  <c:x val="0.00952380952380953"/>
                  <c:y val="-0.0149532710280375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4"/>
              <c:layout>
                <c:manualLayout>
                  <c:x val="0.00190476190476197"/>
                  <c:y val="-0.018691588785046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5"/>
              <c:layout>
                <c:manualLayout>
                  <c:x val="0.00190476190476197"/>
                  <c:y val="-0.029906542056074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565" spc="-1" strike="noStrike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6"/>
                <c:pt idx="0">
                  <c:v>11600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120</c:v>
                </c:pt>
                <c:pt idx="5">
                  <c:v>263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2025</c:v>
                </c:pt>
              </c:strCache>
            </c:strRef>
          </c:tx>
          <c:spPr>
            <a:solidFill>
              <a:srgbClr val="cf6da4"/>
            </a:solidFill>
            <a:ln w="0">
              <a:noFill/>
            </a:ln>
          </c:spPr>
          <c:invertIfNegative val="0"/>
          <c:dPt>
            <c:idx val="0"/>
            <c:invertIfNegative val="0"/>
            <c:spPr>
              <a:solidFill>
                <a:srgbClr val="cf6da4"/>
              </a:solidFill>
              <a:ln w="0">
                <a:noFill/>
              </a:ln>
            </c:spPr>
          </c:dPt>
          <c:dPt>
            <c:idx val="1"/>
            <c:invertIfNegative val="0"/>
            <c:spPr>
              <a:solidFill>
                <a:srgbClr val="cf6da4"/>
              </a:solidFill>
              <a:ln w="0">
                <a:noFill/>
              </a:ln>
            </c:spPr>
          </c:dPt>
          <c:dPt>
            <c:idx val="2"/>
            <c:invertIfNegative val="0"/>
            <c:spPr>
              <a:solidFill>
                <a:srgbClr val="cf6da4"/>
              </a:solidFill>
              <a:ln w="0">
                <a:noFill/>
              </a:ln>
            </c:spPr>
          </c:dPt>
          <c:dPt>
            <c:idx val="3"/>
            <c:invertIfNegative val="0"/>
            <c:spPr>
              <a:solidFill>
                <a:srgbClr val="cf6da4"/>
              </a:solidFill>
              <a:ln w="0">
                <a:noFill/>
              </a:ln>
            </c:spPr>
          </c:dPt>
          <c:dPt>
            <c:idx val="5"/>
            <c:invertIfNegative val="0"/>
            <c:spPr>
              <a:solidFill>
                <a:srgbClr val="cf6da4"/>
              </a:solidFill>
              <a:ln w="0">
                <a:noFill/>
              </a:ln>
            </c:spPr>
          </c:dPt>
          <c:dLbls>
            <c:dLbl>
              <c:idx val="0"/>
              <c:layout>
                <c:manualLayout>
                  <c:x val="0.0134401354036357"/>
                  <c:y val="0.0116035883461163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1"/>
              <c:layout>
                <c:manualLayout>
                  <c:x val="0.0076190476190477"/>
                  <c:y val="0.011214953271028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2"/>
              <c:layout>
                <c:manualLayout>
                  <c:x val="0.0130841121495327"/>
                  <c:y val="-6.6160669605017E-01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3"/>
              <c:layout>
                <c:manualLayout>
                  <c:x val="0.00190476190476197"/>
                  <c:y val="0.018691588785046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dLbl>
              <c:idx val="5"/>
              <c:layout>
                <c:manualLayout>
                  <c:x val="0.0152380952380952"/>
                  <c:y val="6.8535033822621E-017"/>
                </c:manualLayout>
              </c:layout>
              <c:txPr>
                <a:bodyPr wrap="square"/>
                <a:lstStyle/>
                <a:p>
                  <a:pPr>
                    <a:defRPr b="0" sz="565" spc="-1" strike="noStrike">
                      <a:solidFill>
                        <a:srgbClr val="000000"/>
                      </a:solidFill>
                      <a:latin typeface="Arial Cyr"/>
                    </a:defRPr>
                  </a:pPr>
                </a:p>
              </c:txPr>
              <c:dLblPos val="outEnd"/>
              <c:showLegendKey val="0"/>
              <c:showVal val="0"/>
              <c:showCatName val="0"/>
              <c:showSerName val="1"/>
              <c:showPercent val="0"/>
              <c:separator>; </c:separator>
            </c:dLbl>
            <c:txPr>
              <a:bodyPr wrap="square"/>
              <a:lstStyle/>
              <a:p>
                <a:pPr>
                  <a:defRPr b="0" sz="565" spc="-1" strike="noStrike">
                    <a:solidFill>
                      <a:srgbClr val="000000"/>
                    </a:solidFill>
                    <a:latin typeface="Arial Cyr"/>
                    <a:ea typeface="Arial Cyr"/>
                  </a:defRPr>
                </a:pPr>
              </a:p>
            </c:txPr>
            <c:dLblPos val="outEnd"/>
            <c:showLegendKey val="0"/>
            <c:showVal val="0"/>
            <c:showCatName val="0"/>
            <c:showSerName val="1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Аренда земли</c:v>
                </c:pt>
                <c:pt idx="1">
                  <c:v>Аренда имущества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Штрафы</c:v>
                </c:pt>
                <c:pt idx="5">
                  <c:v>Прочие неналоговые поступления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6"/>
                <c:pt idx="0">
                  <c:v>11600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120</c:v>
                </c:pt>
                <c:pt idx="5">
                  <c:v>263</c:v>
                </c:pt>
              </c:numCache>
            </c:numRef>
          </c:val>
        </c:ser>
        <c:gapWidth val="150"/>
        <c:overlap val="0"/>
        <c:axId val="43834105"/>
        <c:axId val="60258037"/>
      </c:barChart>
      <c:catAx>
        <c:axId val="43834105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21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1" sz="820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60258037"/>
        <c:crosses val="autoZero"/>
        <c:auto val="1"/>
        <c:lblAlgn val="ctr"/>
        <c:lblOffset val="100"/>
        <c:noMultiLvlLbl val="0"/>
      </c:catAx>
      <c:valAx>
        <c:axId val="60258037"/>
        <c:scaling>
          <c:orientation val="minMax"/>
          <c:max val="430000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ln w="21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0" sz="565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43834105"/>
        <c:crosses val="autoZero"/>
        <c:crossBetween val="between"/>
        <c:majorUnit val="50000"/>
        <c:minorUnit val="50000"/>
      </c:valAx>
      <c:dTable>
        <c:showHorzBorder val="1"/>
        <c:showVertBorder val="1"/>
        <c:showOutline val="1"/>
        <c:showKeys val="1"/>
        <c:spPr>
          <a:noFill/>
          <a:ln w="2160">
            <a:solidFill>
              <a:srgbClr val="000000"/>
            </a:solidFill>
            <a:round/>
          </a:ln>
        </c:spPr>
        <c:txPr>
          <a:bodyPr/>
          <a:lstStyle/>
          <a:p>
            <a:pPr>
              <a:defRPr b="0" sz="570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</c:dTable>
      <c:spPr>
        <a:noFill/>
        <a:ln w="25560">
          <a:noFill/>
        </a:ln>
      </c:spPr>
    </c:plotArea>
    <c:plotVisOnly val="1"/>
    <c:dispBlanksAs val="gap"/>
  </c:chart>
  <c:spPr>
    <a:noFill/>
    <a:ln w="9360"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9B461F-3F6B-4790-B379-26AFA0B11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Application>LibreOffice/7.5.5.2$Windows_X86_64 LibreOffice_project/ca8fe7424262805f223b9a2334bc7181abbcbf5e</Application>
  <AppVersion>15.0000</AppVersion>
  <Pages>18</Pages>
  <Words>4865</Words>
  <Characters>31538</Characters>
  <CharactersWithSpaces>35987</CharactersWithSpaces>
  <Paragraphs>674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2021-11-11T07:06:00Z</dcterms:created>
  <dc:creator>Силаева</dc:creator>
  <dc:description/>
  <dc:language>ru-RU</dc:language>
  <cp:lastModifiedBy/>
  <cp:lastPrinted>2023-11-29T09:30:51Z</cp:lastPrinted>
  <dcterms:modified xsi:type="dcterms:W3CDTF">2023-11-29T09:39:18Z</dcterms:modified>
  <cp:revision>117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