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E8" w:rsidRDefault="00A37FE8" w:rsidP="00E8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4A4" w:rsidRPr="00D47872" w:rsidRDefault="00E834A4" w:rsidP="00E83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8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834A4" w:rsidRPr="00D47872" w:rsidRDefault="00E834A4" w:rsidP="00E834A4">
      <w:pPr>
        <w:pStyle w:val="a6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47872">
        <w:rPr>
          <w:rFonts w:ascii="Times New Roman" w:hAnsi="Times New Roman" w:cs="Times New Roman"/>
          <w:i w:val="0"/>
          <w:sz w:val="24"/>
          <w:szCs w:val="24"/>
        </w:rPr>
        <w:t>Орловская область</w:t>
      </w:r>
    </w:p>
    <w:p w:rsidR="00E834A4" w:rsidRPr="00D47872" w:rsidRDefault="00E834A4" w:rsidP="00E834A4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872">
        <w:rPr>
          <w:rFonts w:ascii="Times New Roman" w:hAnsi="Times New Roman" w:cs="Times New Roman"/>
          <w:i w:val="0"/>
          <w:sz w:val="24"/>
          <w:szCs w:val="24"/>
        </w:rPr>
        <w:t>МАЛОАРХАНГЕЛЬСКИЙ районный Совет народных депутатов</w:t>
      </w:r>
    </w:p>
    <w:p w:rsidR="00E834A4" w:rsidRPr="00D47872" w:rsidRDefault="00E834A4" w:rsidP="00E834A4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4"/>
          <w:szCs w:val="24"/>
        </w:rPr>
      </w:pPr>
    </w:p>
    <w:p w:rsidR="00E834A4" w:rsidRPr="00D47872" w:rsidRDefault="00E834A4" w:rsidP="00E834A4">
      <w:pPr>
        <w:pStyle w:val="1"/>
        <w:tabs>
          <w:tab w:val="left" w:pos="0"/>
        </w:tabs>
        <w:spacing w:after="0" w:line="240" w:lineRule="auto"/>
        <w:rPr>
          <w:caps/>
        </w:rPr>
      </w:pPr>
      <w:r w:rsidRPr="00D47872">
        <w:rPr>
          <w:color w:val="000000"/>
        </w:rPr>
        <w:t>РЕШЕНИЕ</w:t>
      </w:r>
    </w:p>
    <w:p w:rsidR="00E834A4" w:rsidRPr="00D47872" w:rsidRDefault="00E834A4" w:rsidP="00E834A4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834A4" w:rsidRPr="00D47872" w:rsidRDefault="00E834A4" w:rsidP="00E83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5211"/>
        <w:gridCol w:w="4395"/>
      </w:tblGrid>
      <w:tr w:rsidR="00E834A4" w:rsidRPr="000B670F" w:rsidTr="00E834A4">
        <w:tc>
          <w:tcPr>
            <w:tcW w:w="5211" w:type="dxa"/>
            <w:shd w:val="clear" w:color="auto" w:fill="FFFFFF"/>
          </w:tcPr>
          <w:p w:rsidR="00E834A4" w:rsidRPr="000B670F" w:rsidRDefault="00E834A4" w:rsidP="000B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70F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0B67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C5B1A" w:rsidRPr="000B670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670F" w:rsidRPr="000B67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B67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07056" w:rsidRPr="000B670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C42586" w:rsidRPr="000B670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0B6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5" w:type="dxa"/>
            <w:shd w:val="clear" w:color="auto" w:fill="FFFFFF"/>
          </w:tcPr>
          <w:p w:rsidR="00E834A4" w:rsidRPr="000B670F" w:rsidRDefault="000B670F" w:rsidP="000B67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70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      </w:t>
            </w:r>
            <w:r w:rsidR="00805FEA" w:rsidRPr="000B670F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№ </w:t>
            </w:r>
            <w:r w:rsidRPr="000B670F">
              <w:rPr>
                <w:rFonts w:ascii="Times New Roman" w:hAnsi="Times New Roman" w:cs="Times New Roman"/>
                <w:caps/>
                <w:sz w:val="24"/>
                <w:szCs w:val="24"/>
              </w:rPr>
              <w:t>47</w:t>
            </w:r>
            <w:r w:rsidR="00805FEA" w:rsidRPr="000B670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/</w:t>
            </w:r>
            <w:r w:rsidRPr="000B670F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268</w:t>
            </w:r>
            <w:r w:rsidR="00E834A4" w:rsidRPr="000B670F">
              <w:rPr>
                <w:rFonts w:ascii="Times New Roman" w:hAnsi="Times New Roman" w:cs="Times New Roman"/>
                <w:caps/>
                <w:sz w:val="24"/>
                <w:szCs w:val="24"/>
              </w:rPr>
              <w:t>-РС</w:t>
            </w:r>
          </w:p>
        </w:tc>
      </w:tr>
      <w:tr w:rsidR="00E834A4" w:rsidRPr="000B670F" w:rsidTr="00E834A4">
        <w:tc>
          <w:tcPr>
            <w:tcW w:w="5211" w:type="dxa"/>
            <w:shd w:val="clear" w:color="auto" w:fill="FFFFFF"/>
          </w:tcPr>
          <w:p w:rsidR="00E834A4" w:rsidRPr="000B670F" w:rsidRDefault="00E834A4" w:rsidP="00E834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B67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67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B670F">
              <w:rPr>
                <w:rFonts w:ascii="Times New Roman" w:hAnsi="Times New Roman" w:cs="Times New Roman"/>
                <w:sz w:val="24"/>
                <w:szCs w:val="24"/>
              </w:rPr>
              <w:t>алоархангельск</w:t>
            </w:r>
          </w:p>
          <w:p w:rsidR="00E834A4" w:rsidRPr="000B670F" w:rsidRDefault="00E834A4" w:rsidP="00E834A4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</w:tcPr>
          <w:p w:rsidR="00E834A4" w:rsidRPr="000B670F" w:rsidRDefault="00E834A4" w:rsidP="000B6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70F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</w:t>
            </w:r>
            <w:r w:rsidR="000B670F" w:rsidRPr="000B670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B670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районного Совета народных депутатов</w:t>
            </w:r>
          </w:p>
        </w:tc>
      </w:tr>
    </w:tbl>
    <w:p w:rsidR="008444CA" w:rsidRPr="000B670F" w:rsidRDefault="008444CA" w:rsidP="00E83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A13F9" w:rsidRPr="000B670F" w:rsidTr="00E834A4">
        <w:tc>
          <w:tcPr>
            <w:tcW w:w="5495" w:type="dxa"/>
          </w:tcPr>
          <w:p w:rsidR="00FA13F9" w:rsidRPr="000B670F" w:rsidRDefault="00FA13F9" w:rsidP="00057D2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</w:t>
            </w:r>
            <w:r w:rsidR="00F0692F"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495422"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к решению</w:t>
            </w:r>
            <w:r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Малоархангельского районного</w:t>
            </w:r>
            <w:r w:rsidR="006005F8"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Совета народных депутатов от </w:t>
            </w:r>
            <w:r w:rsidR="00057D26"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7D26"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марта</w:t>
            </w:r>
            <w:r w:rsidR="006005F8"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57D26"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2018 года № 18/137</w:t>
            </w:r>
            <w:r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-РС </w:t>
            </w:r>
            <w:r w:rsidR="006005F8" w:rsidRPr="000B67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376008" w:rsidRPr="000B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</w:t>
            </w:r>
            <w:r w:rsidR="00057D26" w:rsidRPr="000B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организации ритуальных услуг и содержании мест захоронения на территории Малоархангельского района</w:t>
            </w:r>
            <w:r w:rsidR="00376008" w:rsidRPr="000B6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6B7C92" w:rsidRPr="000B670F" w:rsidRDefault="006B7C92" w:rsidP="008444CA">
      <w:pPr>
        <w:spacing w:after="96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07CC" w:rsidRPr="000B670F" w:rsidRDefault="006F07CC" w:rsidP="00B84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0B670F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</w:t>
      </w:r>
      <w:r w:rsidR="00B84B95" w:rsidRPr="000B670F">
        <w:rPr>
          <w:rFonts w:ascii="Times New Roman" w:eastAsia="Times New Roman" w:hAnsi="Times New Roman" w:cs="Times New Roman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законом от 06 апреля 2024 года № 71-ФЗ «О внесении изменений в отдельные законодательные акты Российской Федерации», </w:t>
      </w:r>
      <w:r w:rsidRPr="000B670F">
        <w:rPr>
          <w:rFonts w:ascii="Times New Roman" w:eastAsia="Times New Roman" w:hAnsi="Times New Roman" w:cs="Times New Roman"/>
          <w:sz w:val="24"/>
          <w:szCs w:val="24"/>
        </w:rPr>
        <w:t>Уставом Малоархангельского района,</w:t>
      </w:r>
      <w:r w:rsidR="00161528" w:rsidRPr="000B6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Малоархангельский районный Совет народных депутатов РЕШИЛ:</w:t>
      </w:r>
    </w:p>
    <w:p w:rsidR="006F07CC" w:rsidRPr="000B670F" w:rsidRDefault="006F07CC" w:rsidP="00C8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0B6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Внести </w:t>
      </w:r>
      <w:r w:rsidR="00D362E7" w:rsidRPr="000B6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приложение к решению Малоархангельского районного Совета народных депутатов от 29 марта 2018 года № 18/137-РС «</w:t>
      </w:r>
      <w:r w:rsidR="00D362E7" w:rsidRPr="000B670F">
        <w:rPr>
          <w:rFonts w:ascii="Times New Roman" w:hAnsi="Times New Roman" w:cs="Times New Roman"/>
          <w:bCs/>
          <w:color w:val="000000"/>
          <w:sz w:val="24"/>
          <w:szCs w:val="24"/>
        </w:rPr>
        <w:t>Об организации ритуальных услуг и содержании мест захоронения на территории Малоархангельского района»</w:t>
      </w:r>
      <w:r w:rsidR="00D362E7" w:rsidRPr="000B6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B6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(далее – </w:t>
      </w:r>
      <w:r w:rsidR="00D362E7" w:rsidRPr="000B6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</w:t>
      </w:r>
      <w:r w:rsidRPr="000B67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следующие изменения:</w:t>
      </w:r>
    </w:p>
    <w:p w:rsidR="00443675" w:rsidRPr="000B670F" w:rsidRDefault="006F07CC" w:rsidP="00443675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rPr>
          <w:bCs/>
          <w:color w:val="000000" w:themeColor="text1"/>
        </w:rPr>
        <w:t xml:space="preserve">1) </w:t>
      </w:r>
      <w:r w:rsidR="00D362E7" w:rsidRPr="000B670F">
        <w:rPr>
          <w:bCs/>
          <w:color w:val="000000" w:themeColor="text1"/>
        </w:rPr>
        <w:t>Решение д</w:t>
      </w:r>
      <w:r w:rsidR="00DF7D0B" w:rsidRPr="000B670F">
        <w:rPr>
          <w:bCs/>
          <w:color w:val="000000" w:themeColor="text1"/>
        </w:rPr>
        <w:t>ополнить статьей 15 следующего содержания:</w:t>
      </w:r>
    </w:p>
    <w:p w:rsidR="00D362E7" w:rsidRPr="000B670F" w:rsidRDefault="00D47872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rPr>
          <w:color w:val="000000" w:themeColor="text1"/>
        </w:rPr>
        <w:t>«</w:t>
      </w:r>
      <w:r w:rsidR="00DF7D0B" w:rsidRPr="000B670F">
        <w:t>Статья 15</w:t>
      </w:r>
      <w:r w:rsidR="00902ACF" w:rsidRPr="000B670F">
        <w:t>. Особенности погребения погибших (умерших) военнослужащих, ветеранов и отдельных категорий граждан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t xml:space="preserve">1. Погребению в соответствии с настоящей статьей подлежат погибшие (умершие):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0B670F">
        <w:t xml:space="preserve">1) военнослужащие, граждане, призванные на военные сборы, граждане, пребывавшие в добровольческих формированиях, </w:t>
      </w:r>
      <w:r w:rsidRPr="000B670F">
        <w:rPr>
          <w:color w:val="000000" w:themeColor="text1"/>
        </w:rPr>
        <w:t xml:space="preserve">предусмотренных Федеральным </w:t>
      </w:r>
      <w:r w:rsidRPr="000B670F">
        <w:t>законом</w:t>
      </w:r>
      <w:r w:rsidRPr="000B670F">
        <w:rPr>
          <w:color w:val="000000" w:themeColor="text1"/>
        </w:rPr>
        <w:t xml:space="preserve"> от 31 мая 1996 </w:t>
      </w:r>
      <w:r w:rsidR="00275953" w:rsidRPr="000B670F">
        <w:rPr>
          <w:color w:val="000000" w:themeColor="text1"/>
        </w:rPr>
        <w:t>года № 61-ФЗ «</w:t>
      </w:r>
      <w:r w:rsidR="00E67022" w:rsidRPr="000B670F">
        <w:rPr>
          <w:color w:val="000000" w:themeColor="text1"/>
        </w:rPr>
        <w:t xml:space="preserve">Об обороне» </w:t>
      </w:r>
      <w:r w:rsidRPr="000B670F">
        <w:rPr>
          <w:color w:val="000000" w:themeColor="text1"/>
        </w:rPr>
        <w:t>(далее - граждане, пребывавшие в добровольческих формированиях), сотрудники органов внутренних дел, войск национальной гвардии Российской Федерации, учреждений и</w:t>
      </w:r>
      <w:r w:rsidRPr="000B670F">
        <w:t xml:space="preserve"> органов уголовно-исполнительной системы, органов принудительного исполнения Российской Федерации, Государственной противопожарной службы, таможенных органов, гибель или смерть которых наступила вследствие увечья</w:t>
      </w:r>
      <w:proofErr w:type="gramEnd"/>
      <w:r w:rsidRPr="000B670F">
        <w:t xml:space="preserve"> (ранения, травмы, контузии), заболевания, полученных при прохождении военной службы (военных сборов, службы), в период исполнения обязанностей по контракту о пребывании </w:t>
      </w:r>
      <w:r w:rsidR="00D362E7" w:rsidRPr="000B670F">
        <w:t>в добровольческом формировании;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t xml:space="preserve">2) граждане, уволенные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 и имевшие общую продолжительность военной службы в календарном исчислении 20 лет и более;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proofErr w:type="gramStart"/>
      <w:r w:rsidRPr="000B670F">
        <w:t xml:space="preserve">3) граждане, уволенные со службы в органах внутренних дел, войсках национальной гвардии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</w:t>
      </w:r>
      <w:r w:rsidRPr="000B670F">
        <w:lastRenderedPageBreak/>
        <w:t>на службе, по состоянию здоровья (в связи с болезнью) или</w:t>
      </w:r>
      <w:proofErr w:type="gramEnd"/>
      <w:r w:rsidRPr="000B670F">
        <w:t xml:space="preserve"> в связи с организационно-штатными мероприятиями и имевшие общую продолжительность службы 20 лет и более;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t xml:space="preserve">4) сотрудники таможенных органов, смерть которых наступила после окончания службы в таможенных органах вследствие увечья (ранения, травмы, контузии), заболевания, полученных в связи с исполнением ими должностных обязанностей;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proofErr w:type="gramStart"/>
      <w:r w:rsidRPr="000B670F">
        <w:t>5) прокуроры, гибель или смерть которых наступила в связи с исполнением служебных обязанностей, уволенные со службы прокуроры, смерть которых наступила вследствие причинения им телесных повреждений или иного вреда здоровью в связи с исполнением служебных обязанностей, а также прокуроры, уволенные со службы по достижении предельного возраста нахождения на службе, по состоянию здоровья или в связи с организационно-штатными мероприятиями и имевшие стаж</w:t>
      </w:r>
      <w:proofErr w:type="gramEnd"/>
      <w:r w:rsidRPr="000B670F">
        <w:t xml:space="preserve"> службы 20 календарных лет и более;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t xml:space="preserve">6) инвалиды Великой Отечественной войны и инвалиды боевых действий (далее - инвалиды войны);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t xml:space="preserve">7) участники Великой </w:t>
      </w:r>
      <w:r w:rsidRPr="000B670F">
        <w:rPr>
          <w:color w:val="000000" w:themeColor="text1"/>
        </w:rPr>
        <w:t xml:space="preserve">Отечественной войны;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rPr>
          <w:color w:val="000000" w:themeColor="text1"/>
        </w:rPr>
        <w:t xml:space="preserve">8) ветераны боевых действий из числа лиц, указанных в </w:t>
      </w:r>
      <w:r w:rsidRPr="000B670F">
        <w:t>подпунктах 1</w:t>
      </w:r>
      <w:r w:rsidRPr="000B670F">
        <w:rPr>
          <w:color w:val="000000" w:themeColor="text1"/>
        </w:rPr>
        <w:t xml:space="preserve"> - </w:t>
      </w:r>
      <w:r w:rsidRPr="000B670F">
        <w:t>5</w:t>
      </w:r>
      <w:r w:rsidRPr="000B670F">
        <w:rPr>
          <w:color w:val="000000" w:themeColor="text1"/>
        </w:rPr>
        <w:t xml:space="preserve"> и </w:t>
      </w:r>
      <w:r w:rsidRPr="000B670F">
        <w:t>8 пункта 1 статьи 3</w:t>
      </w:r>
      <w:r w:rsidRPr="000B670F">
        <w:rPr>
          <w:color w:val="000000" w:themeColor="text1"/>
        </w:rPr>
        <w:t xml:space="preserve"> Федерального закона от 12 января 1995 года </w:t>
      </w:r>
      <w:r w:rsidR="00275953" w:rsidRPr="000B670F">
        <w:rPr>
          <w:color w:val="000000" w:themeColor="text1"/>
        </w:rPr>
        <w:t>№</w:t>
      </w:r>
      <w:r w:rsidRPr="000B670F">
        <w:rPr>
          <w:color w:val="000000" w:themeColor="text1"/>
        </w:rPr>
        <w:t xml:space="preserve"> 5-</w:t>
      </w:r>
      <w:r w:rsidR="00F72F51" w:rsidRPr="000B670F">
        <w:rPr>
          <w:color w:val="000000" w:themeColor="text1"/>
        </w:rPr>
        <w:t>ФЗ «О ветеранах»</w:t>
      </w:r>
      <w:r w:rsidRPr="000B670F">
        <w:rPr>
          <w:color w:val="000000" w:themeColor="text1"/>
        </w:rPr>
        <w:t xml:space="preserve">;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rPr>
          <w:color w:val="000000" w:themeColor="text1"/>
        </w:rPr>
        <w:t xml:space="preserve">9) ветераны военной службы.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t xml:space="preserve">2. </w:t>
      </w:r>
      <w:proofErr w:type="gramStart"/>
      <w:r w:rsidRPr="000B670F">
        <w:t>Погребение погибшего (умершего) лица из числа лиц, указанных в пункте 1 настоящей статьи, осуществляется на воинском кладбище, на воинском участке общественного кладбища или на другом месте погребения с учетом его волеизъявления (при наличии) либо пожелания супруга, близких родственников, иных родственников или законного представителя погибшего (умершего) лица из числа лиц, указанных в пункте 1 настоящей статьи, а при отсутствии таковых иных</w:t>
      </w:r>
      <w:proofErr w:type="gramEnd"/>
      <w:r w:rsidRPr="000B670F">
        <w:t xml:space="preserve"> лиц, взявших на себя обязанность осуществить погребение погибшего (умершего).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proofErr w:type="gramStart"/>
      <w:r w:rsidRPr="000B670F">
        <w:t>Федеральные органы исполнительной власти и федеральные государственные органы в соответствии с заслугами погибшего (умершего) лица из числа лиц, указанных в пункте 1 настоящей статьи, имеют право ходатайствовать перед специализированной службой по вопросам похоронного дела о погребении погибшего (умершего) лица из числа лиц, указанных в пункте 1 настоящей статьи, на поименованном месте погребения, если это не противоречит его волеизъявлению (при наличии</w:t>
      </w:r>
      <w:proofErr w:type="gramEnd"/>
      <w:r w:rsidRPr="000B670F">
        <w:t xml:space="preserve">) либо пожеланию супруга, близких родственников, иных родственников или законного представителя погибшего (умершего) лица из числа лиц, указанных в пункте 1 настоящей статьи, а при отсутствии таковых иных лиц, взявших на себя обязанность осуществить погребение погибшего (умершего).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r w:rsidRPr="000B670F">
        <w:t xml:space="preserve">3. </w:t>
      </w:r>
      <w:proofErr w:type="gramStart"/>
      <w:r w:rsidRPr="000B670F">
        <w:t xml:space="preserve">Погребение погибшего (умершего) лица из числа лиц, указанных в пункте 1 настоящей статьи, а также изготовление и установка ему памятника (намогильного сооружения, надгробия) осуществляются за счет средств федерального органа исполнительной власти или федерального государственного органа, в которых погибший (умерший) проходил военную службу (военные сборы, службу), исполнял обязанности по контракту о пребывании в добровольческом формировании (служебные обязанности). </w:t>
      </w:r>
      <w:proofErr w:type="gramEnd"/>
    </w:p>
    <w:p w:rsidR="00902ACF" w:rsidRPr="000B670F" w:rsidRDefault="00902ACF" w:rsidP="00D362E7">
      <w:pPr>
        <w:pStyle w:val="a4"/>
        <w:spacing w:before="0" w:beforeAutospacing="0" w:after="0" w:afterAutospacing="0"/>
        <w:ind w:firstLine="708"/>
        <w:jc w:val="both"/>
        <w:rPr>
          <w:bCs/>
          <w:color w:val="000000" w:themeColor="text1"/>
        </w:rPr>
      </w:pPr>
      <w:proofErr w:type="gramStart"/>
      <w:r w:rsidRPr="000B670F">
        <w:t xml:space="preserve">Оплата услуг по погребению умерших участников Великой Отечественной войны, инвалидов войны, не проходивших военной </w:t>
      </w:r>
      <w:r w:rsidRPr="000B670F">
        <w:rPr>
          <w:color w:val="000000" w:themeColor="text1"/>
        </w:rPr>
        <w:t xml:space="preserve">службы (службы) и не работавших в федеральных органах исполнительной власти или федеральных государственных органах, в которых федеральным законом предусмотрена военная служба (служба), умерших ветеранов боевых действий из числа лиц, указанных в </w:t>
      </w:r>
      <w:r w:rsidRPr="000B670F">
        <w:t>подпункте 5 пункта 1 статьи 3</w:t>
      </w:r>
      <w:r w:rsidRPr="000B670F">
        <w:rPr>
          <w:color w:val="000000" w:themeColor="text1"/>
        </w:rPr>
        <w:t xml:space="preserve"> Федерального закона от 12 января 1995 года </w:t>
      </w:r>
      <w:r w:rsidR="00275953" w:rsidRPr="000B670F">
        <w:rPr>
          <w:color w:val="000000" w:themeColor="text1"/>
        </w:rPr>
        <w:t>№ 5-ФЗ «О</w:t>
      </w:r>
      <w:proofErr w:type="gramEnd"/>
      <w:r w:rsidR="00275953" w:rsidRPr="000B670F">
        <w:rPr>
          <w:color w:val="000000" w:themeColor="text1"/>
        </w:rPr>
        <w:t xml:space="preserve"> </w:t>
      </w:r>
      <w:proofErr w:type="gramStart"/>
      <w:r w:rsidR="00275953" w:rsidRPr="000B670F">
        <w:rPr>
          <w:color w:val="000000" w:themeColor="text1"/>
        </w:rPr>
        <w:t>ветеранах</w:t>
      </w:r>
      <w:proofErr w:type="gramEnd"/>
      <w:r w:rsidR="00275953" w:rsidRPr="000B670F">
        <w:rPr>
          <w:color w:val="000000" w:themeColor="text1"/>
        </w:rPr>
        <w:t>»</w:t>
      </w:r>
      <w:r w:rsidRPr="000B670F">
        <w:rPr>
          <w:color w:val="000000" w:themeColor="text1"/>
        </w:rPr>
        <w:t>, а также по изготовлению и установке им памятников (намогильных сооружений, надгробий) производится за счет средств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</w:t>
      </w:r>
      <w:r w:rsidRPr="000B670F">
        <w:t xml:space="preserve">. </w:t>
      </w:r>
    </w:p>
    <w:p w:rsidR="00D362E7" w:rsidRPr="000B670F" w:rsidRDefault="00902ACF" w:rsidP="00D362E7">
      <w:pPr>
        <w:pStyle w:val="a4"/>
        <w:spacing w:before="168" w:beforeAutospacing="0" w:after="0" w:afterAutospacing="0" w:line="288" w:lineRule="atLeast"/>
        <w:ind w:firstLine="709"/>
        <w:jc w:val="both"/>
      </w:pPr>
      <w:r w:rsidRPr="000B670F">
        <w:lastRenderedPageBreak/>
        <w:t xml:space="preserve">4. Оплате в соответствии с пунктом 3 настоящей статьи подлежат следующие виды услуг: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1) услуги по погребению: </w:t>
      </w:r>
    </w:p>
    <w:p w:rsidR="00902ACF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оформление документов, необходимых для погребения (кремации); </w:t>
      </w:r>
    </w:p>
    <w:p w:rsidR="00902ACF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перевозка тела (останков) в морг и услуги морга; </w:t>
      </w:r>
    </w:p>
    <w:p w:rsidR="00902ACF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предоставление и доставка гроба, урны, венка и других предметов, необходимых для погребения (кремации); </w:t>
      </w:r>
    </w:p>
    <w:p w:rsidR="00902ACF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перевозка тела (останков) погибшего (умершего) к месту погребения (кремации); </w:t>
      </w:r>
    </w:p>
    <w:p w:rsidR="00902ACF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предоставление ритуального зала для прощания (при наличии); </w:t>
      </w:r>
    </w:p>
    <w:p w:rsidR="00902ACF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погребение (кремация с последующим захоронением урны с прахом);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2) услуги по изготовлению и установке памятников (намогильных сооружений, надгробий).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5. Нормы расходов денежных средств на погребение погибших (умерших) лиц, указанных в пункте 1 настоящей статьи, а также на изготовление и установку им памятников (намогильных сооружений, надгробий) определяются Правительством Российской Федерации. </w:t>
      </w:r>
    </w:p>
    <w:p w:rsidR="00D362E7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 xml:space="preserve">Оплата расходов на обеспечение деятельности Федерального военного мемориального кладбища производится за счет средств федерального бюджета в размерах, определяемых Правительством Российской Федерации, а также за счет иных источников в соответствии с законодательством Российской Федерации. </w:t>
      </w:r>
    </w:p>
    <w:p w:rsidR="00902ACF" w:rsidRPr="000B670F" w:rsidRDefault="00902ACF" w:rsidP="00D362E7">
      <w:pPr>
        <w:pStyle w:val="a4"/>
        <w:spacing w:before="0" w:beforeAutospacing="0" w:after="0" w:afterAutospacing="0"/>
        <w:ind w:firstLine="709"/>
        <w:jc w:val="both"/>
      </w:pPr>
      <w:r w:rsidRPr="000B670F">
        <w:t>6. Порядок погребения погибших (умерших) лиц, указанных в пункте 1 настоящей статьи, оплаты услуг по погребению, а также по изготовлению и установке им памятников (намогильных сооружений, надгробий) определяется федеральными органами исполнительной власти и федеральными государственными органами, в которых федеральным законом предусм</w:t>
      </w:r>
      <w:r w:rsidR="00225898" w:rsidRPr="000B670F">
        <w:t>отрена военная служба (служба)</w:t>
      </w:r>
      <w:r w:rsidR="00D362E7" w:rsidRPr="000B670F">
        <w:t>».</w:t>
      </w:r>
    </w:p>
    <w:p w:rsidR="00843D24" w:rsidRPr="000B670F" w:rsidRDefault="008444CA" w:rsidP="00843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834A4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астоящее решение </w:t>
      </w:r>
      <w:r w:rsidR="00E834A4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опубликовать </w:t>
      </w: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834A4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районной газете «Звезда» и разместить на официальном сайте администрации Малоархангельского района в информационно-телекоммуникационной сети «Интернет».</w:t>
      </w:r>
    </w:p>
    <w:p w:rsidR="0033051B" w:rsidRPr="000B670F" w:rsidRDefault="0033051B" w:rsidP="006F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51B" w:rsidRPr="000B670F" w:rsidRDefault="0033051B" w:rsidP="006F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6ED" w:rsidRPr="000B670F" w:rsidRDefault="00C246ED" w:rsidP="006F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6ED" w:rsidRPr="000B670F" w:rsidRDefault="00C246ED" w:rsidP="006F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207" w:rsidRPr="000B670F" w:rsidRDefault="00C83207" w:rsidP="006F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4E42" w:rsidRPr="000B670F" w:rsidRDefault="008444CA" w:rsidP="006F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Малоархангельского</w:t>
      </w:r>
    </w:p>
    <w:p w:rsidR="008444CA" w:rsidRPr="000B670F" w:rsidRDefault="00974E42" w:rsidP="006F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A13F9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айонного</w:t>
      </w: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народных </w:t>
      </w:r>
      <w:r w:rsidR="008444CA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депутатов</w:t>
      </w:r>
      <w:r w:rsidR="00FA13F9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DB7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FA13F9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444CA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.И. </w:t>
      </w:r>
      <w:r w:rsidR="00FA13F9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Горохов</w:t>
      </w:r>
    </w:p>
    <w:p w:rsidR="00FA13F9" w:rsidRPr="000B670F" w:rsidRDefault="00FA13F9" w:rsidP="006F0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A53" w:rsidRPr="000B670F" w:rsidRDefault="006F0A53" w:rsidP="006F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6ED" w:rsidRPr="000B670F" w:rsidRDefault="00C246ED" w:rsidP="006F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6ED" w:rsidRPr="000B670F" w:rsidRDefault="00C246ED" w:rsidP="006F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651" w:rsidRPr="000B670F" w:rsidRDefault="008444CA" w:rsidP="006F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Малоархангельского района</w:t>
      </w:r>
      <w:r w:rsidR="00FA13F9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974E42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824285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FA13F9" w:rsidRPr="000B670F">
        <w:rPr>
          <w:rFonts w:ascii="Times New Roman" w:eastAsia="Times New Roman" w:hAnsi="Times New Roman" w:cs="Times New Roman"/>
          <w:color w:val="000000"/>
          <w:sz w:val="24"/>
          <w:szCs w:val="24"/>
        </w:rPr>
        <w:t>П.В. Матвейчук</w:t>
      </w:r>
    </w:p>
    <w:p w:rsidR="00BB6651" w:rsidRPr="000B670F" w:rsidRDefault="00BB6651" w:rsidP="006F0A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B6651" w:rsidRPr="000B670F" w:rsidSect="000A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33F"/>
    <w:rsid w:val="00023BD3"/>
    <w:rsid w:val="00057D26"/>
    <w:rsid w:val="00072DC4"/>
    <w:rsid w:val="000A7CDE"/>
    <w:rsid w:val="000B4F08"/>
    <w:rsid w:val="000B670F"/>
    <w:rsid w:val="000D305D"/>
    <w:rsid w:val="000F5249"/>
    <w:rsid w:val="00114615"/>
    <w:rsid w:val="00116CEC"/>
    <w:rsid w:val="001173B1"/>
    <w:rsid w:val="0012071D"/>
    <w:rsid w:val="0013742B"/>
    <w:rsid w:val="00144B55"/>
    <w:rsid w:val="00145716"/>
    <w:rsid w:val="00161528"/>
    <w:rsid w:val="00172EFE"/>
    <w:rsid w:val="001A7ECA"/>
    <w:rsid w:val="001D4042"/>
    <w:rsid w:val="001E4077"/>
    <w:rsid w:val="001F3331"/>
    <w:rsid w:val="002101EE"/>
    <w:rsid w:val="00211E30"/>
    <w:rsid w:val="00225898"/>
    <w:rsid w:val="00275953"/>
    <w:rsid w:val="0029274C"/>
    <w:rsid w:val="002B0DB7"/>
    <w:rsid w:val="002C05C9"/>
    <w:rsid w:val="002F6DD1"/>
    <w:rsid w:val="003178BB"/>
    <w:rsid w:val="0033051B"/>
    <w:rsid w:val="003402D2"/>
    <w:rsid w:val="00376008"/>
    <w:rsid w:val="004055AC"/>
    <w:rsid w:val="0044290A"/>
    <w:rsid w:val="00443675"/>
    <w:rsid w:val="004734F4"/>
    <w:rsid w:val="00495422"/>
    <w:rsid w:val="00497BE6"/>
    <w:rsid w:val="004A505F"/>
    <w:rsid w:val="004C415F"/>
    <w:rsid w:val="004C7465"/>
    <w:rsid w:val="004E01B6"/>
    <w:rsid w:val="004E2EA9"/>
    <w:rsid w:val="00525C62"/>
    <w:rsid w:val="00541872"/>
    <w:rsid w:val="00562064"/>
    <w:rsid w:val="005C0B76"/>
    <w:rsid w:val="005C15E0"/>
    <w:rsid w:val="005F06A8"/>
    <w:rsid w:val="006005F8"/>
    <w:rsid w:val="00631383"/>
    <w:rsid w:val="00651A95"/>
    <w:rsid w:val="00690921"/>
    <w:rsid w:val="006B7C92"/>
    <w:rsid w:val="006F07CC"/>
    <w:rsid w:val="006F0A53"/>
    <w:rsid w:val="00746575"/>
    <w:rsid w:val="00754C48"/>
    <w:rsid w:val="007A70B4"/>
    <w:rsid w:val="007C224D"/>
    <w:rsid w:val="007D602F"/>
    <w:rsid w:val="00805FEA"/>
    <w:rsid w:val="00824285"/>
    <w:rsid w:val="00843D24"/>
    <w:rsid w:val="008444CA"/>
    <w:rsid w:val="008A3170"/>
    <w:rsid w:val="008C0E00"/>
    <w:rsid w:val="008D5D23"/>
    <w:rsid w:val="008E5596"/>
    <w:rsid w:val="00902ACF"/>
    <w:rsid w:val="00921774"/>
    <w:rsid w:val="009245FC"/>
    <w:rsid w:val="00942576"/>
    <w:rsid w:val="0094633F"/>
    <w:rsid w:val="00974E42"/>
    <w:rsid w:val="009C7C19"/>
    <w:rsid w:val="009D147D"/>
    <w:rsid w:val="00A153BD"/>
    <w:rsid w:val="00A37400"/>
    <w:rsid w:val="00A37FE8"/>
    <w:rsid w:val="00A51BCA"/>
    <w:rsid w:val="00A649A8"/>
    <w:rsid w:val="00A86C29"/>
    <w:rsid w:val="00AC715A"/>
    <w:rsid w:val="00AE7503"/>
    <w:rsid w:val="00AF0E54"/>
    <w:rsid w:val="00AF3774"/>
    <w:rsid w:val="00B32B0F"/>
    <w:rsid w:val="00B45F73"/>
    <w:rsid w:val="00B46058"/>
    <w:rsid w:val="00B50558"/>
    <w:rsid w:val="00B514B2"/>
    <w:rsid w:val="00B81B57"/>
    <w:rsid w:val="00B84B95"/>
    <w:rsid w:val="00BB6651"/>
    <w:rsid w:val="00BB6DB4"/>
    <w:rsid w:val="00BF3FDF"/>
    <w:rsid w:val="00C246ED"/>
    <w:rsid w:val="00C42586"/>
    <w:rsid w:val="00C83207"/>
    <w:rsid w:val="00CB1964"/>
    <w:rsid w:val="00CC5B1A"/>
    <w:rsid w:val="00CE7FA3"/>
    <w:rsid w:val="00CF2FFC"/>
    <w:rsid w:val="00CF6628"/>
    <w:rsid w:val="00D00F99"/>
    <w:rsid w:val="00D07056"/>
    <w:rsid w:val="00D07839"/>
    <w:rsid w:val="00D362E7"/>
    <w:rsid w:val="00D47872"/>
    <w:rsid w:val="00D83BFE"/>
    <w:rsid w:val="00D85907"/>
    <w:rsid w:val="00D94796"/>
    <w:rsid w:val="00D96ABF"/>
    <w:rsid w:val="00DE4258"/>
    <w:rsid w:val="00DF2ABF"/>
    <w:rsid w:val="00DF7D0B"/>
    <w:rsid w:val="00E409E2"/>
    <w:rsid w:val="00E67022"/>
    <w:rsid w:val="00E834A4"/>
    <w:rsid w:val="00EC682A"/>
    <w:rsid w:val="00F0692F"/>
    <w:rsid w:val="00F46BFF"/>
    <w:rsid w:val="00F72F51"/>
    <w:rsid w:val="00FA13F9"/>
    <w:rsid w:val="00FC4CB6"/>
    <w:rsid w:val="00FD09F5"/>
    <w:rsid w:val="00FD5862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DE"/>
  </w:style>
  <w:style w:type="paragraph" w:styleId="1">
    <w:name w:val="heading 1"/>
    <w:basedOn w:val="a"/>
    <w:next w:val="a0"/>
    <w:link w:val="10"/>
    <w:qFormat/>
    <w:rsid w:val="00E834A4"/>
    <w:pPr>
      <w:widowControl w:val="0"/>
      <w:tabs>
        <w:tab w:val="num" w:pos="0"/>
      </w:tabs>
      <w:suppressAutoHyphens/>
      <w:spacing w:before="108" w:after="108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94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1"/>
    <w:rsid w:val="0094633F"/>
  </w:style>
  <w:style w:type="paragraph" w:customStyle="1" w:styleId="table0">
    <w:name w:val="table0"/>
    <w:basedOn w:val="a"/>
    <w:rsid w:val="0094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4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FA13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834A4"/>
    <w:rPr>
      <w:rFonts w:ascii="Times New Roman" w:eastAsia="Times New Roman" w:hAnsi="Times New Roman" w:cs="Times New Roman"/>
      <w:b/>
      <w:bCs/>
      <w:color w:val="000080"/>
      <w:sz w:val="24"/>
      <w:szCs w:val="24"/>
      <w:lang w:eastAsia="ar-SA"/>
    </w:rPr>
  </w:style>
  <w:style w:type="paragraph" w:styleId="a6">
    <w:name w:val="Subtitle"/>
    <w:basedOn w:val="a"/>
    <w:next w:val="a0"/>
    <w:link w:val="a7"/>
    <w:qFormat/>
    <w:rsid w:val="00E834A4"/>
    <w:pPr>
      <w:suppressAutoHyphens/>
      <w:spacing w:after="0" w:line="360" w:lineRule="auto"/>
      <w:jc w:val="center"/>
    </w:pPr>
    <w:rPr>
      <w:rFonts w:ascii="Courier New" w:eastAsia="Times New Roman" w:hAnsi="Courier New" w:cs="Courier New"/>
      <w:b/>
      <w:i/>
      <w:iCs/>
      <w:caps/>
      <w:sz w:val="26"/>
      <w:szCs w:val="28"/>
      <w:lang w:eastAsia="ar-SA"/>
    </w:rPr>
  </w:style>
  <w:style w:type="character" w:customStyle="1" w:styleId="a7">
    <w:name w:val="Подзаголовок Знак"/>
    <w:basedOn w:val="a1"/>
    <w:link w:val="a6"/>
    <w:rsid w:val="00E834A4"/>
    <w:rPr>
      <w:rFonts w:ascii="Courier New" w:eastAsia="Times New Roman" w:hAnsi="Courier New" w:cs="Courier New"/>
      <w:b/>
      <w:i/>
      <w:iCs/>
      <w:caps/>
      <w:sz w:val="26"/>
      <w:szCs w:val="28"/>
      <w:lang w:eastAsia="ar-SA"/>
    </w:rPr>
  </w:style>
  <w:style w:type="paragraph" w:styleId="a0">
    <w:name w:val="Body Text"/>
    <w:basedOn w:val="a"/>
    <w:link w:val="a8"/>
    <w:uiPriority w:val="99"/>
    <w:semiHidden/>
    <w:unhideWhenUsed/>
    <w:rsid w:val="00E834A4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834A4"/>
  </w:style>
  <w:style w:type="paragraph" w:styleId="a9">
    <w:name w:val="List Paragraph"/>
    <w:basedOn w:val="a"/>
    <w:uiPriority w:val="34"/>
    <w:qFormat/>
    <w:rsid w:val="008A3170"/>
    <w:pPr>
      <w:ind w:left="720"/>
      <w:contextualSpacing/>
    </w:pPr>
  </w:style>
  <w:style w:type="character" w:customStyle="1" w:styleId="11">
    <w:name w:val="Гиперссылка1"/>
    <w:basedOn w:val="a1"/>
    <w:rsid w:val="006F07CC"/>
  </w:style>
  <w:style w:type="paragraph" w:customStyle="1" w:styleId="ConsPlusNormal">
    <w:name w:val="ConsPlusNormal"/>
    <w:rsid w:val="00BB6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BB6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a">
    <w:name w:val="Hyperlink"/>
    <w:basedOn w:val="a1"/>
    <w:uiPriority w:val="99"/>
    <w:semiHidden/>
    <w:unhideWhenUsed/>
    <w:rsid w:val="00C246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7</cp:revision>
  <cp:lastPrinted>2024-10-30T06:23:00Z</cp:lastPrinted>
  <dcterms:created xsi:type="dcterms:W3CDTF">2024-10-10T14:14:00Z</dcterms:created>
  <dcterms:modified xsi:type="dcterms:W3CDTF">2024-10-30T06:23:00Z</dcterms:modified>
</cp:coreProperties>
</file>